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B5F17">
      <w:pPr>
        <w:pStyle w:val="2"/>
        <w:spacing w:line="360" w:lineRule="auto"/>
        <w:ind w:left="0" w:firstLine="0"/>
        <w:jc w:val="center"/>
        <w:rPr>
          <w:rFonts w:ascii="宋体" w:hAnsi="宋体"/>
          <w:szCs w:val="36"/>
          <w:highlight w:val="none"/>
        </w:rPr>
      </w:pPr>
      <w:bookmarkStart w:id="12" w:name="_GoBack"/>
      <w:bookmarkEnd w:id="12"/>
      <w:r>
        <w:rPr>
          <w:rFonts w:hint="eastAsia" w:ascii="宋体" w:hAnsi="宋体"/>
          <w:szCs w:val="36"/>
          <w:highlight w:val="none"/>
          <w:lang w:eastAsia="zh-CN"/>
        </w:rPr>
        <w:t>附件</w:t>
      </w:r>
      <w:r>
        <w:rPr>
          <w:rFonts w:hint="eastAsia" w:ascii="宋体" w:hAnsi="宋体"/>
          <w:szCs w:val="36"/>
          <w:highlight w:val="none"/>
          <w:lang w:val="en-US" w:eastAsia="zh-CN"/>
        </w:rPr>
        <w:t xml:space="preserve"> </w:t>
      </w:r>
      <w:r>
        <w:rPr>
          <w:rFonts w:hint="eastAsia" w:ascii="宋体" w:hAnsi="宋体"/>
          <w:szCs w:val="36"/>
          <w:highlight w:val="none"/>
        </w:rPr>
        <w:t>采购需求</w:t>
      </w:r>
    </w:p>
    <w:p w14:paraId="32D560D1">
      <w:pPr>
        <w:rPr>
          <w:rFonts w:hint="eastAsia" w:ascii="宋体" w:hAnsi="宋体"/>
          <w:b/>
          <w:color w:val="FF0000"/>
          <w:highlight w:val="none"/>
        </w:rPr>
      </w:pPr>
      <w:bookmarkStart w:id="0" w:name="_Toc11247"/>
      <w:bookmarkStart w:id="1" w:name="_Toc553"/>
      <w:bookmarkStart w:id="2" w:name="_Toc10989"/>
      <w:bookmarkStart w:id="3" w:name="_Toc10062"/>
      <w:bookmarkStart w:id="4" w:name="_Toc15170"/>
      <w:bookmarkStart w:id="5" w:name="_Toc17276"/>
      <w:bookmarkStart w:id="6" w:name="_Toc8025"/>
      <w:bookmarkStart w:id="7" w:name="_Toc22987"/>
      <w:r>
        <w:rPr>
          <w:rFonts w:hint="eastAsia" w:ascii="宋体" w:hAnsi="宋体"/>
          <w:b/>
          <w:color w:val="FF0000"/>
          <w:highlight w:val="none"/>
        </w:rPr>
        <w:t>一、要求：以下条款如投标人参与投标，视为投标人自动响应。</w:t>
      </w:r>
      <w:bookmarkEnd w:id="0"/>
      <w:bookmarkEnd w:id="1"/>
      <w:bookmarkEnd w:id="2"/>
      <w:bookmarkEnd w:id="3"/>
      <w:bookmarkEnd w:id="4"/>
      <w:bookmarkEnd w:id="5"/>
      <w:bookmarkEnd w:id="6"/>
      <w:bookmarkEnd w:id="7"/>
    </w:p>
    <w:p w14:paraId="747D8DA6">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2AACC305">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1172263F">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51DB1944">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043FCF82">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4BCBF960">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0A3366B5">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57AAD0A2">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6CC77D53">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8" w:name="_Hlk100612830"/>
      <w:r>
        <w:rPr>
          <w:rFonts w:hint="eastAsia"/>
          <w:b/>
          <w:color w:val="000000"/>
          <w:highlight w:val="none"/>
        </w:rPr>
        <w:t>如不提供的评标委员会</w:t>
      </w:r>
      <w:bookmarkEnd w:id="8"/>
      <w:r>
        <w:rPr>
          <w:rFonts w:hint="eastAsia"/>
          <w:b/>
          <w:color w:val="000000"/>
          <w:highlight w:val="none"/>
        </w:rPr>
        <w:t>有权否决其投标</w:t>
      </w:r>
      <w:r>
        <w:rPr>
          <w:rFonts w:hint="eastAsia" w:ascii="宋体" w:hAnsi="宋体"/>
          <w:b/>
          <w:color w:val="000000"/>
          <w:highlight w:val="none"/>
        </w:rPr>
        <w:t>。</w:t>
      </w:r>
    </w:p>
    <w:p w14:paraId="14E6909D">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54008B91">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54423E7C">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2D74F681">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026F3166">
      <w:pPr>
        <w:spacing w:line="360" w:lineRule="auto"/>
        <w:ind w:firstLine="472" w:firstLineChars="196"/>
        <w:rPr>
          <w:rFonts w:hint="eastAsia" w:ascii="宋体" w:hAnsi="宋体"/>
          <w:b/>
          <w:color w:val="000000"/>
          <w:highlight w:val="none"/>
        </w:rPr>
      </w:pPr>
      <w:r>
        <w:rPr>
          <w:rFonts w:hint="eastAsia" w:ascii="宋体" w:hAnsi="宋体" w:cs="宋体"/>
          <w:b/>
          <w:bCs/>
          <w:sz w:val="24"/>
          <w:szCs w:val="24"/>
          <w:highlight w:val="none"/>
        </w:rPr>
        <w:t>备注：请列出易损件，耗材及其他相关产品清单，并注明编码报价</w:t>
      </w:r>
      <w:r>
        <w:rPr>
          <w:rFonts w:hint="eastAsia" w:ascii="宋体" w:hAnsi="宋体" w:cs="宋体"/>
          <w:b/>
          <w:bCs/>
          <w:sz w:val="24"/>
          <w:szCs w:val="24"/>
          <w:highlight w:val="none"/>
          <w:lang w:eastAsia="zh-CN"/>
        </w:rPr>
        <w:t>。</w:t>
      </w:r>
    </w:p>
    <w:p w14:paraId="5D8FAB2E">
      <w:pPr>
        <w:ind w:firstLine="437"/>
        <w:jc w:val="both"/>
        <w:outlineLvl w:val="1"/>
        <w:rPr>
          <w:rFonts w:hint="eastAsia" w:ascii="宋体" w:hAnsi="宋体" w:cs="@仿宋_GB2312"/>
          <w:b/>
          <w:color w:val="auto"/>
          <w:szCs w:val="18"/>
          <w:highlight w:val="none"/>
        </w:rPr>
      </w:pPr>
      <w:bookmarkStart w:id="9" w:name="_Toc26330"/>
      <w:bookmarkStart w:id="10" w:name="_Toc9765"/>
      <w:bookmarkStart w:id="11"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9"/>
      <w:bookmarkEnd w:id="10"/>
      <w:r>
        <w:rPr>
          <w:rFonts w:hint="eastAsia" w:ascii="宋体" w:hAnsi="宋体" w:cs="@仿宋_GB2312"/>
          <w:b/>
          <w:color w:val="auto"/>
          <w:szCs w:val="18"/>
          <w:highlight w:val="none"/>
        </w:rPr>
        <w:t>（以下内容必须响应，不允许偏离）</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5F22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B83C17C">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6D8A91C7">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3865B6FB">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0F16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69BCFD2">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063687B4">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331AF8ED">
            <w:pPr>
              <w:spacing w:line="360" w:lineRule="auto"/>
              <w:rPr>
                <w:rFonts w:hint="eastAsia" w:ascii="宋体" w:hAnsi="宋体" w:cs="@仿宋_GB2312"/>
                <w:bCs/>
                <w:color w:val="auto"/>
                <w:kern w:val="0"/>
                <w:szCs w:val="28"/>
                <w:highlight w:val="none"/>
              </w:rPr>
            </w:pPr>
            <w:r>
              <w:rPr>
                <w:rFonts w:hint="eastAsia" w:ascii="宋体"/>
                <w:b w:val="0"/>
                <w:bCs/>
                <w:color w:val="auto"/>
                <w:highlight w:val="none"/>
                <w:lang w:val="en-US" w:eastAsia="zh-CN"/>
              </w:rPr>
              <w:t>设</w:t>
            </w:r>
            <w:r>
              <w:rPr>
                <w:rFonts w:hint="eastAsia" w:ascii="宋体"/>
                <w:b w:val="0"/>
                <w:bCs/>
                <w:color w:val="auto"/>
                <w:highlight w:val="none"/>
              </w:rPr>
              <w:t>备按批次安装验收合格后三个月首付90%货款，余额10%货款质保金一年后如无质量问题无息付清</w:t>
            </w:r>
          </w:p>
        </w:tc>
      </w:tr>
      <w:tr w14:paraId="0D38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C32AFFC">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7BDB1379">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341ADA3A">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3A83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0974397">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38A9BE41">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791E7CE8">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4F373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1A4EC1B">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6E1AB1ED">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57F111D3">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bl>
    <w:p w14:paraId="1BF4967D">
      <w:pPr>
        <w:ind w:firstLine="437"/>
        <w:jc w:val="both"/>
        <w:outlineLvl w:val="9"/>
        <w:rPr>
          <w:rFonts w:hint="eastAsia" w:ascii="宋体" w:hAnsi="宋体" w:cs="@仿宋_GB2312"/>
          <w:b/>
          <w:bCs/>
          <w:color w:val="auto"/>
          <w:szCs w:val="18"/>
          <w:highlight w:val="none"/>
        </w:rPr>
      </w:pPr>
    </w:p>
    <w:p w14:paraId="2A779B85">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0B70834A">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2107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4CD4BFC">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3EAB42F2">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7B10806A">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4E0A8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19E55331">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5C7AB4C5">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3500C181">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19C8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A834EE8">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139A5C80">
            <w:pPr>
              <w:spacing w:line="240" w:lineRule="auto"/>
              <w:jc w:val="center"/>
              <w:rPr>
                <w:rFonts w:hint="eastAsia" w:ascii="宋体" w:hAnsi="宋体" w:cs="宋体"/>
                <w:bCs/>
                <w:color w:val="auto"/>
                <w:highlight w:val="none"/>
              </w:rPr>
            </w:pPr>
          </w:p>
        </w:tc>
        <w:tc>
          <w:tcPr>
            <w:tcW w:w="5561" w:type="dxa"/>
            <w:noWrap w:val="0"/>
            <w:vAlign w:val="center"/>
          </w:tcPr>
          <w:p w14:paraId="23AF8214">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3806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08CDA037">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62531C15">
      <w:pPr>
        <w:widowControl/>
        <w:snapToGrid w:val="0"/>
        <w:spacing w:line="240" w:lineRule="auto"/>
        <w:jc w:val="both"/>
        <w:outlineLvl w:val="9"/>
        <w:rPr>
          <w:rFonts w:hint="eastAsia" w:ascii="宋体" w:hAnsi="宋体" w:cs="宋体"/>
          <w:b/>
          <w:bCs/>
          <w:color w:val="auto"/>
          <w:highlight w:val="none"/>
        </w:rPr>
      </w:pPr>
    </w:p>
    <w:p w14:paraId="49B20AE5">
      <w:pPr>
        <w:widowControl/>
        <w:snapToGrid w:val="0"/>
        <w:ind w:firstLine="482" w:firstLineChars="200"/>
        <w:jc w:val="both"/>
        <w:outlineLvl w:val="2"/>
        <w:rPr>
          <w:rFonts w:hint="eastAsia" w:ascii="宋体" w:hAnsi="宋体" w:cs="宋体"/>
          <w:b w:val="0"/>
          <w:bCs w:val="0"/>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p w14:paraId="0C90059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1、研究级正置显微镜，可作明场的观察；</w:t>
      </w:r>
    </w:p>
    <w:p w14:paraId="0FA2DE54">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2、光学系统：无限远校正光学系统，齐焦距离必须为国际标准45mm；</w:t>
      </w:r>
    </w:p>
    <w:p w14:paraId="38421C2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3、调焦：低位固定载物台通过物镜转盘聚焦，聚焦行程≥15mm，带聚焦粗调限位器，粗调旋钮扭矩可调，高灵敏微调旋钮最小调节精度≤1微米；</w:t>
      </w:r>
    </w:p>
    <w:p w14:paraId="7C9A19C4">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★4、观察镜筒：三目观察筒，可调倾角或舒适固定倾角；</w:t>
      </w:r>
    </w:p>
    <w:p w14:paraId="4759278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5、照明装置：内置透射光柯勒照明器，高色彩LED光源，具有光强管理功能，能够在转换不同物镜时，根据预设光强进行自动光亮度调节；</w:t>
      </w:r>
    </w:p>
    <w:p w14:paraId="78CAB6C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★6、高级物镜：</w:t>
      </w:r>
    </w:p>
    <w:p w14:paraId="485317CB">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平场半复消色差物镜4X（N.A.≥0.13，W.D.≥17.0mm，视场数≥25）；</w:t>
      </w:r>
    </w:p>
    <w:p w14:paraId="67AAD69A">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平场半复消色差物镜10X（N.A.≥0.3，W.D.≥10.0mm，视场数≥25）；</w:t>
      </w:r>
    </w:p>
    <w:p w14:paraId="5C19F4C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平场半复消色差物镜20X（N.A.≥0.5，W.D.≥2.1mm，视场数≥25）；</w:t>
      </w:r>
    </w:p>
    <w:p w14:paraId="240AC0EC">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平场消色差半复物镜40X（N.A.≥0.75，W.D.≥0.51mm，视场数≥25）；</w:t>
      </w:r>
    </w:p>
    <w:p w14:paraId="0DDA10C3">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平场消色差半复油浸物镜100X（N.A.≥1.3，W.D.≥0.2mm，视场数≥25）；</w:t>
      </w:r>
    </w:p>
    <w:p w14:paraId="2E8D1F0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7、载物台：细胞学专用右手短柄载物台，扭矩更轻能够用一个手指轻松操作。带有旋转装置和扭矩调节装置，高抗磨损性陶瓷覆盖层载物台；</w:t>
      </w:r>
    </w:p>
    <w:p w14:paraId="7CA63466">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8、目镜：10X超宽视野目镜，视野数为≥25；</w:t>
      </w:r>
    </w:p>
    <w:p w14:paraId="3F1166BE">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9、物镜转换器：≥5孔，支持编码识别，与软件连接后能够保存物镜信息，随物镜转换能够自动校准标尺；</w:t>
      </w:r>
    </w:p>
    <w:p w14:paraId="187EE80F">
      <w:pPr>
        <w:widowControl/>
        <w:snapToGrid w:val="0"/>
        <w:ind w:firstLine="480" w:firstLineChars="200"/>
        <w:jc w:val="both"/>
        <w:outlineLvl w:val="9"/>
        <w:rPr>
          <w:rFonts w:hint="eastAsia" w:ascii="宋体" w:hAnsi="宋体" w:cs="@仿宋_GB2312"/>
          <w:color w:val="auto"/>
          <w:szCs w:val="18"/>
          <w:highlight w:val="none"/>
        </w:rPr>
      </w:pPr>
      <w:r>
        <w:rPr>
          <w:rFonts w:hint="eastAsia" w:ascii="宋体" w:hAnsi="宋体" w:cs="宋体"/>
          <w:b w:val="0"/>
          <w:bCs w:val="0"/>
          <w:color w:val="auto"/>
          <w:highlight w:val="none"/>
          <w:lang w:val="en-US" w:eastAsia="zh-CN"/>
        </w:rPr>
        <w:t>10、聚光镜：内置摇摆式聚光镜，N.A. 0.9，使用4X物镜时无需摇出顶透镜。</w:t>
      </w:r>
    </w:p>
    <w:bookmarkEnd w:id="11"/>
    <w:p w14:paraId="6E5A9B28">
      <w:pPr>
        <w:keepNext w:val="0"/>
        <w:keepLines w:val="0"/>
        <w:pageBreakBefore w:val="0"/>
        <w:widowControl w:val="0"/>
        <w:kinsoku/>
        <w:overflowPunct/>
        <w:autoSpaceDE/>
        <w:bidi w:val="0"/>
        <w:snapToGrid/>
        <w:ind w:left="0" w:right="0" w:firstLine="480"/>
        <w:jc w:val="both"/>
        <w:textAlignment w:val="auto"/>
        <w:rPr>
          <w:highlight w:val="none"/>
        </w:rPr>
      </w:pPr>
    </w:p>
    <w:p w14:paraId="34F1600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744AC3"/>
    <w:rsid w:val="16B92A7C"/>
    <w:rsid w:val="42C720E6"/>
    <w:rsid w:val="7C5C5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1906</Words>
  <Characters>2029</Characters>
  <Lines>0</Lines>
  <Paragraphs>0</Paragraphs>
  <TotalTime>0</TotalTime>
  <ScaleCrop>false</ScaleCrop>
  <LinksUpToDate>false</LinksUpToDate>
  <CharactersWithSpaces>2039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2026-09-07T08:06:00Z</dcterms:created>
  <dc:creator>Administrator</dc:creator>
  <cp:lastModifiedBy>我是榛子先生</cp:lastModifiedBy>
  <dcterms:modified xsi:type="dcterms:W3CDTF">2026-10-13T06:56:43Z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E537CFBAD77C44F1BDFAFB23325FEDFF_13</vt:lpwstr>
  </property>
</Properties>
</file>