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54727">
      <w:pPr>
        <w:pStyle w:val="2"/>
        <w:shd w:val="clear"/>
        <w:tabs>
          <w:tab w:val="left" w:pos="420"/>
        </w:tabs>
        <w:spacing w:line="360" w:lineRule="auto"/>
        <w:ind w:left="0" w:firstLine="0"/>
        <w:jc w:val="center"/>
        <w:rPr>
          <w:rFonts w:ascii="宋体" w:hAnsi="宋体"/>
          <w:szCs w:val="36"/>
          <w:highlight w:val="none"/>
        </w:rPr>
      </w:pPr>
      <w:r>
        <w:rPr>
          <w:rFonts w:hint="eastAsia" w:ascii="宋体" w:hAnsi="宋体"/>
          <w:szCs w:val="36"/>
          <w:highlight w:val="none"/>
        </w:rPr>
        <w:t>采购需求</w:t>
      </w:r>
    </w:p>
    <w:p w14:paraId="507F7328">
      <w:pPr>
        <w:shd w:val="clea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特别提示：</w:t>
      </w:r>
    </w:p>
    <w:p w14:paraId="70E4E0DA">
      <w:pPr>
        <w:shd w:val="clea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要求：以下条款如供应商参与响应，视为供应商自动响应。</w:t>
      </w:r>
    </w:p>
    <w:p w14:paraId="7E3B6CBF">
      <w:pPr>
        <w:shd w:val="clea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1、按照采购需求提供配置清单，标明品牌、型号、产地、数量等并分项报价；</w:t>
      </w:r>
    </w:p>
    <w:p w14:paraId="3C71F0BF">
      <w:pPr>
        <w:shd w:val="clea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2、提供产品日常使用的所有配套专用耗材清单，确保产品正常使用。须标明品牌、型号、产地、规格、最小供货单位等并分项报价，报价不计入响应</w:t>
      </w:r>
      <w:r>
        <w:rPr>
          <w:rFonts w:hint="eastAsia" w:ascii="宋体" w:hAnsi="宋体" w:cs="宋体"/>
          <w:b/>
          <w:sz w:val="24"/>
          <w:szCs w:val="24"/>
          <w:highlight w:val="none"/>
          <w:lang w:val="en-US" w:eastAsia="zh-CN"/>
        </w:rPr>
        <w:t>报价</w:t>
      </w:r>
      <w:r>
        <w:rPr>
          <w:rFonts w:hint="eastAsia" w:ascii="宋体" w:hAnsi="宋体" w:cs="宋体"/>
          <w:b/>
          <w:sz w:val="24"/>
          <w:szCs w:val="24"/>
          <w:highlight w:val="none"/>
        </w:rPr>
        <w:t>。在成交后如发现有漏报、瞒报的配套专用耗材，一律视为已包含在成交价内，不得以赠送形式向采购人提供产品及服务。耗材供应期按照医院相关耗材管理规定执行；</w:t>
      </w:r>
    </w:p>
    <w:p w14:paraId="6C3B9420">
      <w:pPr>
        <w:shd w:val="clea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3、说明是否需要其他设备配套使用，请列出配套设备名称、数量等，如未说明一律视为已包含在响应报价内；</w:t>
      </w:r>
    </w:p>
    <w:p w14:paraId="16F2938C">
      <w:pPr>
        <w:shd w:val="clea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4</w:t>
      </w:r>
      <w:r>
        <w:rPr>
          <w:rFonts w:hint="eastAsia" w:ascii="宋体" w:hAnsi="宋体" w:cs="宋体"/>
          <w:b/>
          <w:sz w:val="24"/>
          <w:szCs w:val="24"/>
          <w:highlight w:val="none"/>
        </w:rPr>
        <w:t>、供应商及产品须资质、证照齐全且在有效期内，如确无注册证的产品，须提供官方说明材料；</w:t>
      </w:r>
    </w:p>
    <w:p w14:paraId="6102FC8C">
      <w:pPr>
        <w:shd w:val="clea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5</w:t>
      </w:r>
      <w:r>
        <w:rPr>
          <w:rFonts w:hint="eastAsia" w:ascii="宋体" w:hAnsi="宋体" w:cs="宋体"/>
          <w:b/>
          <w:sz w:val="24"/>
          <w:szCs w:val="24"/>
          <w:highlight w:val="none"/>
        </w:rPr>
        <w:t>、若属安徽省医用耗材政策管理范围内产品，需满足相关要求（如“集采”、“两票制”等）；若为集采管理范围内产品，需在集采目录中，同类产品原则上选择限价产品，同类无替代选择备案产品；</w:t>
      </w:r>
    </w:p>
    <w:p w14:paraId="78CAAC95">
      <w:pPr>
        <w:shd w:val="clea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6</w:t>
      </w:r>
      <w:r>
        <w:rPr>
          <w:rFonts w:hint="eastAsia" w:ascii="宋体" w:hAnsi="宋体" w:cs="宋体"/>
          <w:b/>
          <w:sz w:val="24"/>
          <w:szCs w:val="24"/>
          <w:highlight w:val="none"/>
        </w:rPr>
        <w:t>、</w:t>
      </w:r>
      <w:r>
        <w:rPr>
          <w:rFonts w:hint="eastAsia" w:ascii="宋体" w:hAnsi="宋体" w:cs="宋体"/>
          <w:b/>
          <w:bCs/>
          <w:sz w:val="24"/>
          <w:szCs w:val="24"/>
          <w:highlight w:val="none"/>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cs="宋体"/>
          <w:b/>
          <w:sz w:val="24"/>
          <w:szCs w:val="24"/>
          <w:highlight w:val="none"/>
        </w:rPr>
        <w:t>；</w:t>
      </w:r>
    </w:p>
    <w:p w14:paraId="0A41FF59">
      <w:pPr>
        <w:shd w:val="clea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7</w:t>
      </w:r>
      <w:r>
        <w:rPr>
          <w:rFonts w:hint="eastAsia" w:ascii="宋体" w:hAnsi="宋体" w:cs="宋体"/>
          <w:b/>
          <w:sz w:val="24"/>
          <w:szCs w:val="24"/>
          <w:highlight w:val="none"/>
        </w:rPr>
        <w:t>、根据医保政策，可单独收费医用耗材请提供安徽医保局下发的27位医保编码，并按编码进行报价；</w:t>
      </w:r>
    </w:p>
    <w:p w14:paraId="464170DC">
      <w:pPr>
        <w:shd w:val="clea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8</w:t>
      </w:r>
      <w:r>
        <w:rPr>
          <w:rFonts w:hint="eastAsia" w:ascii="宋体" w:hAnsi="宋体" w:cs="宋体"/>
          <w:b/>
          <w:sz w:val="24"/>
          <w:szCs w:val="24"/>
          <w:highlight w:val="none"/>
        </w:rPr>
        <w:t>、需长期供应的医用耗材及试剂产品，成交后合同期内不得变更配送公司，否则取消该品牌成交资格。响应文件中生产厂家须出具长期授权函，并提供合同期内不变更配送公司的承诺函，如不提供的评审小组有权按无效参选处理。</w:t>
      </w:r>
    </w:p>
    <w:p w14:paraId="4F0541A9">
      <w:pPr>
        <w:shd w:val="clea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9</w:t>
      </w:r>
      <w:r>
        <w:rPr>
          <w:rFonts w:hint="eastAsia" w:ascii="宋体" w:hAnsi="宋体" w:cs="宋体"/>
          <w:b/>
          <w:sz w:val="24"/>
          <w:szCs w:val="24"/>
          <w:highlight w:val="none"/>
        </w:rPr>
        <w:t>、医用耗材及配套使用的工具按医院规定需要消毒的，其相关费用由供应商自行承担。</w:t>
      </w:r>
    </w:p>
    <w:p w14:paraId="14F0CB00">
      <w:pPr>
        <w:shd w:val="clea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10</w:t>
      </w:r>
      <w:r>
        <w:rPr>
          <w:rFonts w:hint="eastAsia" w:ascii="宋体" w:hAnsi="宋体" w:cs="宋体"/>
          <w:b/>
          <w:sz w:val="24"/>
          <w:szCs w:val="24"/>
          <w:highlight w:val="none"/>
        </w:rPr>
        <w:t>、检验试剂项目和需配套检验试剂使用的检验设备项目，均须免费提供同品牌或第三方符合溯源要求的质控品。</w:t>
      </w:r>
    </w:p>
    <w:p w14:paraId="1EA7E316">
      <w:pPr>
        <w:shd w:val="clea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11</w:t>
      </w:r>
      <w:r>
        <w:rPr>
          <w:rFonts w:hint="eastAsia" w:ascii="宋体" w:hAnsi="宋体" w:cs="宋体"/>
          <w:b/>
          <w:sz w:val="24"/>
          <w:szCs w:val="24"/>
          <w:highlight w:val="none"/>
        </w:rPr>
        <w:t>、</w:t>
      </w:r>
      <w:bookmarkStart w:id="0" w:name="OLE_LINK13"/>
      <w:r>
        <w:rPr>
          <w:rFonts w:hint="eastAsia" w:ascii="宋体" w:hAnsi="宋体" w:cs="宋体"/>
          <w:b/>
          <w:sz w:val="24"/>
          <w:szCs w:val="24"/>
          <w:highlight w:val="none"/>
        </w:rPr>
        <w:t>供应商</w:t>
      </w:r>
      <w:bookmarkEnd w:id="0"/>
      <w:r>
        <w:rPr>
          <w:rFonts w:hint="eastAsia" w:ascii="宋体" w:hAnsi="宋体" w:cs="宋体"/>
          <w:b/>
          <w:sz w:val="24"/>
          <w:szCs w:val="24"/>
          <w:highlight w:val="none"/>
        </w:rPr>
        <w:t>需无条件接受因国家及安徽省相关政策（如医用耗材带量采购等）对比选结果带来的变动，供应商不得提出异议。</w:t>
      </w:r>
    </w:p>
    <w:p w14:paraId="1ECDC45D">
      <w:pPr>
        <w:shd w:val="clea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12</w:t>
      </w:r>
      <w:r>
        <w:rPr>
          <w:rFonts w:hint="eastAsia" w:ascii="宋体" w:hAnsi="宋体" w:cs="宋体"/>
          <w:b/>
          <w:sz w:val="24"/>
          <w:szCs w:val="24"/>
          <w:highlight w:val="none"/>
        </w:rPr>
        <w:t>、供应商须保证此次参选产品，响应价格不得高于安徽省医药集中采购平台交易目录最高限价；后期安徽省医药集中采购平台交易目录最高限价如有降价，成交产品的成交人应于7个工作日内书面通知采购人启动协商程序。</w:t>
      </w:r>
    </w:p>
    <w:p w14:paraId="68712993">
      <w:pPr>
        <w:shd w:val="clear"/>
        <w:wordWrap w:val="0"/>
        <w:spacing w:line="360" w:lineRule="auto"/>
        <w:ind w:firstLine="482" w:firstLineChars="200"/>
        <w:rPr>
          <w:rFonts w:ascii="宋体" w:hAnsi="宋体" w:cs="宋体"/>
          <w:b/>
          <w:sz w:val="24"/>
          <w:szCs w:val="24"/>
          <w:highlight w:val="none"/>
        </w:rPr>
      </w:pPr>
      <w:r>
        <w:rPr>
          <w:rFonts w:hint="eastAsia" w:ascii="宋体" w:hAnsi="宋体" w:cs="宋体"/>
          <w:b/>
          <w:sz w:val="24"/>
          <w:szCs w:val="24"/>
          <w:highlight w:val="none"/>
        </w:rPr>
        <w:t>1</w:t>
      </w:r>
      <w:r>
        <w:rPr>
          <w:rFonts w:ascii="宋体" w:hAnsi="宋体" w:cs="宋体"/>
          <w:b/>
          <w:sz w:val="24"/>
          <w:szCs w:val="24"/>
          <w:highlight w:val="none"/>
        </w:rPr>
        <w:t>3</w:t>
      </w:r>
      <w:r>
        <w:rPr>
          <w:rFonts w:hint="eastAsia" w:ascii="宋体" w:hAnsi="宋体" w:cs="宋体"/>
          <w:b/>
          <w:sz w:val="24"/>
          <w:szCs w:val="24"/>
          <w:highlight w:val="none"/>
        </w:rPr>
        <w:t>、按收费价格费率投标的检验项目，如后期收费价格下调，试剂供货价格须按成交费率同比例下浮。</w:t>
      </w:r>
    </w:p>
    <w:p w14:paraId="2F8CF981">
      <w:pPr>
        <w:shd w:val="clear"/>
        <w:spacing w:line="360" w:lineRule="auto"/>
        <w:ind w:firstLine="470" w:firstLineChars="196"/>
        <w:rPr>
          <w:rFonts w:ascii="宋体" w:hAnsi="宋体"/>
          <w:b/>
          <w:sz w:val="24"/>
          <w:szCs w:val="24"/>
          <w:highlight w:val="none"/>
        </w:rPr>
      </w:pPr>
      <w:r>
        <w:rPr>
          <w:rFonts w:hint="eastAsia" w:ascii="宋体" w:hAnsi="宋体" w:cs="宋体"/>
          <w:sz w:val="24"/>
          <w:szCs w:val="24"/>
          <w:highlight w:val="none"/>
        </w:rPr>
        <w:t>备注：请列出易损件，耗材及其他相关产品清单，并注明编码报价</w:t>
      </w:r>
      <w:r>
        <w:rPr>
          <w:rFonts w:hint="eastAsia" w:ascii="宋体" w:hAnsi="宋体" w:cs="宋体"/>
          <w:sz w:val="24"/>
          <w:szCs w:val="24"/>
          <w:highlight w:val="none"/>
          <w:lang w:eastAsia="zh-CN"/>
        </w:rPr>
        <w:t>。</w:t>
      </w:r>
    </w:p>
    <w:p w14:paraId="72F1C7F2">
      <w:pPr>
        <w:shd w:val="clear"/>
        <w:rPr>
          <w:rFonts w:hint="eastAsia"/>
          <w:highlight w:val="none"/>
        </w:rPr>
      </w:pPr>
    </w:p>
    <w:p w14:paraId="02198899">
      <w:pPr>
        <w:shd w:val="clear"/>
        <w:spacing w:line="360" w:lineRule="auto"/>
        <w:ind w:firstLine="437"/>
        <w:jc w:val="both"/>
        <w:outlineLvl w:val="1"/>
        <w:rPr>
          <w:rFonts w:hint="eastAsia" w:ascii="宋体" w:hAnsi="宋体" w:cs="@仿宋_GB2312"/>
          <w:b/>
          <w:sz w:val="24"/>
          <w:szCs w:val="24"/>
          <w:highlight w:val="none"/>
        </w:rPr>
      </w:pPr>
      <w:bookmarkStart w:id="1" w:name="_Toc9765"/>
      <w:bookmarkStart w:id="2" w:name="_Toc26330"/>
      <w:r>
        <w:rPr>
          <w:rFonts w:hint="eastAsia" w:ascii="宋体" w:hAnsi="宋体" w:cs="@仿宋_GB2312"/>
          <w:b/>
          <w:sz w:val="24"/>
          <w:szCs w:val="24"/>
          <w:highlight w:val="none"/>
        </w:rPr>
        <w:t>一、采购需求前附表</w:t>
      </w:r>
      <w:bookmarkEnd w:id="1"/>
      <w:bookmarkEnd w:id="2"/>
      <w:r>
        <w:rPr>
          <w:rFonts w:hint="eastAsia" w:ascii="宋体" w:hAnsi="宋体" w:eastAsia="宋体"/>
          <w:b/>
          <w:color w:val="FF0000"/>
          <w:sz w:val="24"/>
          <w:szCs w:val="18"/>
          <w:highlight w:val="none"/>
          <w:lang w:eastAsia="zh-CN"/>
        </w:rPr>
        <w:t>（</w:t>
      </w:r>
      <w:r>
        <w:rPr>
          <w:rFonts w:hint="eastAsia" w:ascii="宋体" w:hAnsi="宋体" w:eastAsia="宋体"/>
          <w:b/>
          <w:color w:val="FF0000"/>
          <w:sz w:val="24"/>
          <w:szCs w:val="18"/>
          <w:highlight w:val="none"/>
          <w:lang w:val="en-US" w:eastAsia="zh-CN"/>
        </w:rPr>
        <w:t>以下内容必须响应，不允许偏离</w:t>
      </w:r>
      <w:r>
        <w:rPr>
          <w:rFonts w:hint="eastAsia" w:ascii="宋体" w:hAnsi="宋体" w:eastAsia="宋体"/>
          <w:b/>
          <w:color w:val="FF0000"/>
          <w:sz w:val="24"/>
          <w:szCs w:val="18"/>
          <w:highlight w:val="none"/>
          <w:lang w:eastAsia="zh-CN"/>
        </w:rPr>
        <w:t>）</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297D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0149D476">
            <w:pPr>
              <w:shd w:val="clear"/>
              <w:spacing w:line="360" w:lineRule="auto"/>
              <w:jc w:val="center"/>
              <w:rPr>
                <w:rFonts w:hint="eastAsia" w:ascii="宋体" w:hAnsi="宋体" w:cs="@仿宋_GB2312"/>
                <w:b/>
                <w:sz w:val="24"/>
                <w:szCs w:val="24"/>
                <w:highlight w:val="none"/>
              </w:rPr>
            </w:pPr>
            <w:r>
              <w:rPr>
                <w:rFonts w:hint="eastAsia" w:ascii="宋体" w:hAnsi="宋体" w:cs="@仿宋_GB2312"/>
                <w:b/>
                <w:sz w:val="24"/>
                <w:szCs w:val="24"/>
                <w:highlight w:val="none"/>
              </w:rPr>
              <w:t>序号</w:t>
            </w:r>
          </w:p>
        </w:tc>
        <w:tc>
          <w:tcPr>
            <w:tcW w:w="2191" w:type="dxa"/>
            <w:noWrap w:val="0"/>
            <w:vAlign w:val="center"/>
          </w:tcPr>
          <w:p w14:paraId="30607E19">
            <w:pPr>
              <w:shd w:val="clea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条款名称</w:t>
            </w:r>
          </w:p>
        </w:tc>
        <w:tc>
          <w:tcPr>
            <w:tcW w:w="5476" w:type="dxa"/>
            <w:noWrap w:val="0"/>
            <w:vAlign w:val="center"/>
          </w:tcPr>
          <w:p w14:paraId="365E4C94">
            <w:pPr>
              <w:shd w:val="clea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内容、说明与要求</w:t>
            </w:r>
          </w:p>
        </w:tc>
      </w:tr>
      <w:tr w14:paraId="7DBA0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7CEFC81">
            <w:pPr>
              <w:shd w:val="clea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1</w:t>
            </w:r>
          </w:p>
        </w:tc>
        <w:tc>
          <w:tcPr>
            <w:tcW w:w="2191" w:type="dxa"/>
            <w:noWrap w:val="0"/>
            <w:vAlign w:val="center"/>
          </w:tcPr>
          <w:p w14:paraId="62FCDFFD">
            <w:pPr>
              <w:pStyle w:val="5"/>
              <w:widowControl w:val="0"/>
              <w:shd w:val="clear"/>
              <w:spacing w:before="0" w:beforeAutospacing="0" w:after="0" w:afterAutospacing="0" w:line="360" w:lineRule="auto"/>
              <w:rPr>
                <w:rFonts w:hint="eastAsia" w:ascii="宋体" w:hAnsi="宋体" w:cs="@仿宋_GB2312"/>
                <w:bCs w:val="0"/>
                <w:kern w:val="0"/>
                <w:sz w:val="24"/>
                <w:szCs w:val="24"/>
                <w:highlight w:val="none"/>
              </w:rPr>
            </w:pPr>
            <w:r>
              <w:rPr>
                <w:rFonts w:hint="eastAsia" w:ascii="宋体" w:hAnsi="宋体" w:eastAsia="宋体"/>
                <w:b w:val="0"/>
                <w:sz w:val="24"/>
                <w:highlight w:val="none"/>
              </w:rPr>
              <w:t>付款方式</w:t>
            </w:r>
          </w:p>
        </w:tc>
        <w:tc>
          <w:tcPr>
            <w:tcW w:w="5476" w:type="dxa"/>
            <w:noWrap w:val="0"/>
            <w:vAlign w:val="center"/>
          </w:tcPr>
          <w:p w14:paraId="75DCB709">
            <w:pPr>
              <w:pStyle w:val="5"/>
              <w:widowControl w:val="0"/>
              <w:shd w:val="clear"/>
              <w:spacing w:before="0" w:beforeAutospacing="0" w:after="0" w:afterAutospacing="0" w:line="360" w:lineRule="auto"/>
              <w:jc w:val="both"/>
              <w:rPr>
                <w:rFonts w:hint="eastAsia" w:ascii="宋体" w:hAnsi="宋体" w:eastAsia="宋体"/>
                <w:b w:val="0"/>
                <w:sz w:val="24"/>
                <w:highlight w:val="none"/>
                <w:u w:val="single"/>
              </w:rPr>
            </w:pPr>
            <w:r>
              <w:rPr>
                <w:rFonts w:hint="eastAsia" w:ascii="宋体" w:hAnsi="宋体" w:eastAsia="宋体"/>
                <w:b w:val="0"/>
                <w:sz w:val="24"/>
                <w:highlight w:val="none"/>
                <w:u w:val="single"/>
              </w:rPr>
              <w:t>（1）货到安装验收合格，提供产品的使用、操作及维修人员的培训，并能独立操作且使用部门签字确认后，一次性付清。</w:t>
            </w:r>
          </w:p>
          <w:p w14:paraId="2EE347F6">
            <w:pPr>
              <w:pStyle w:val="5"/>
              <w:widowControl w:val="0"/>
              <w:shd w:val="clear"/>
              <w:spacing w:before="0" w:beforeAutospacing="0" w:after="0" w:afterAutospacing="0" w:line="360" w:lineRule="auto"/>
              <w:jc w:val="both"/>
              <w:rPr>
                <w:rFonts w:hint="eastAsia" w:ascii="宋体" w:hAnsi="宋体" w:cs="@仿宋_GB2312"/>
                <w:bCs w:val="0"/>
                <w:kern w:val="0"/>
                <w:sz w:val="24"/>
                <w:szCs w:val="24"/>
                <w:highlight w:val="none"/>
              </w:rPr>
            </w:pPr>
            <w:r>
              <w:rPr>
                <w:rFonts w:hint="eastAsia" w:ascii="宋体" w:hAnsi="宋体" w:eastAsia="宋体"/>
                <w:b w:val="0"/>
                <w:sz w:val="24"/>
                <w:highlight w:val="none"/>
                <w:u w:val="single"/>
              </w:rPr>
              <w:t xml:space="preserve">（2）若采购人提前支付，成交人须提供与支付金额相等的不可撤销独立保函。 </w:t>
            </w:r>
          </w:p>
        </w:tc>
      </w:tr>
      <w:tr w14:paraId="76D0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6399E15">
            <w:pPr>
              <w:shd w:val="clea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2</w:t>
            </w:r>
          </w:p>
        </w:tc>
        <w:tc>
          <w:tcPr>
            <w:tcW w:w="2191" w:type="dxa"/>
            <w:noWrap w:val="0"/>
            <w:vAlign w:val="center"/>
          </w:tcPr>
          <w:p w14:paraId="742AA54B">
            <w:pPr>
              <w:shd w:val="clea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供货及安装地点</w:t>
            </w:r>
          </w:p>
        </w:tc>
        <w:tc>
          <w:tcPr>
            <w:tcW w:w="5476" w:type="dxa"/>
            <w:noWrap w:val="0"/>
            <w:vAlign w:val="center"/>
          </w:tcPr>
          <w:p w14:paraId="723CE112">
            <w:pPr>
              <w:shd w:val="clea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采购人指定地点</w:t>
            </w:r>
          </w:p>
        </w:tc>
      </w:tr>
      <w:tr w14:paraId="1642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CDD7745">
            <w:pPr>
              <w:shd w:val="clea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3</w:t>
            </w:r>
          </w:p>
        </w:tc>
        <w:tc>
          <w:tcPr>
            <w:tcW w:w="2191" w:type="dxa"/>
            <w:noWrap w:val="0"/>
            <w:vAlign w:val="center"/>
          </w:tcPr>
          <w:p w14:paraId="63C4AE09">
            <w:pPr>
              <w:shd w:val="clea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供货安装期/供货期</w:t>
            </w:r>
          </w:p>
        </w:tc>
        <w:tc>
          <w:tcPr>
            <w:tcW w:w="5476" w:type="dxa"/>
            <w:noWrap w:val="0"/>
            <w:vAlign w:val="center"/>
          </w:tcPr>
          <w:p w14:paraId="01039D20">
            <w:pPr>
              <w:shd w:val="clea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r w14:paraId="4A89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57E270E">
            <w:pPr>
              <w:shd w:val="clea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4</w:t>
            </w:r>
          </w:p>
        </w:tc>
        <w:tc>
          <w:tcPr>
            <w:tcW w:w="2191" w:type="dxa"/>
            <w:noWrap w:val="0"/>
            <w:vAlign w:val="center"/>
          </w:tcPr>
          <w:p w14:paraId="14897324">
            <w:pPr>
              <w:shd w:val="clea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质保期（如有）</w:t>
            </w:r>
          </w:p>
        </w:tc>
        <w:tc>
          <w:tcPr>
            <w:tcW w:w="5476" w:type="dxa"/>
            <w:noWrap w:val="0"/>
            <w:vAlign w:val="center"/>
          </w:tcPr>
          <w:p w14:paraId="6A2EF426">
            <w:pPr>
              <w:shd w:val="clea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bl>
    <w:p w14:paraId="1325D4E2">
      <w:pPr>
        <w:shd w:val="clear"/>
        <w:spacing w:line="360" w:lineRule="auto"/>
        <w:ind w:firstLine="437"/>
        <w:jc w:val="both"/>
        <w:outlineLvl w:val="1"/>
        <w:rPr>
          <w:rFonts w:hint="eastAsia" w:ascii="宋体" w:hAnsi="宋体" w:cs="@仿宋_GB2312"/>
          <w:b/>
          <w:bCs/>
          <w:sz w:val="24"/>
          <w:szCs w:val="24"/>
          <w:highlight w:val="none"/>
        </w:rPr>
      </w:pPr>
    </w:p>
    <w:p w14:paraId="0E14E2A5">
      <w:pPr>
        <w:shd w:val="clea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二、</w:t>
      </w:r>
      <w:r>
        <w:rPr>
          <w:rFonts w:hint="eastAsia" w:ascii="宋体" w:hAnsi="宋体" w:cs="@仿宋_GB2312"/>
          <w:b/>
          <w:sz w:val="24"/>
          <w:szCs w:val="24"/>
          <w:highlight w:val="none"/>
        </w:rPr>
        <w:t>货物</w:t>
      </w:r>
      <w:r>
        <w:rPr>
          <w:rFonts w:hint="eastAsia" w:ascii="宋体" w:hAnsi="宋体" w:cs="@仿宋_GB2312"/>
          <w:b/>
          <w:bCs/>
          <w:sz w:val="24"/>
          <w:szCs w:val="24"/>
          <w:highlight w:val="none"/>
        </w:rPr>
        <w:t>需求</w:t>
      </w:r>
    </w:p>
    <w:p w14:paraId="422830E4">
      <w:pPr>
        <w:widowControl/>
        <w:shd w:val="clear"/>
        <w:spacing w:line="360" w:lineRule="auto"/>
        <w:ind w:firstLine="482" w:firstLineChars="200"/>
        <w:jc w:val="both"/>
        <w:outlineLvl w:val="2"/>
        <w:rPr>
          <w:rFonts w:hint="eastAsia" w:ascii="宋体" w:hAnsi="宋体" w:cs="宋体"/>
          <w:b/>
          <w:bCs/>
          <w:sz w:val="24"/>
          <w:szCs w:val="24"/>
          <w:highlight w:val="none"/>
        </w:rPr>
      </w:pPr>
      <w:r>
        <w:rPr>
          <w:rFonts w:hint="eastAsia" w:ascii="宋体" w:hAnsi="宋体" w:cs="宋体"/>
          <w:b/>
          <w:bCs/>
          <w:sz w:val="24"/>
          <w:szCs w:val="24"/>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0938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07AE2190">
            <w:pPr>
              <w:shd w:val="clea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标识类型</w:t>
            </w:r>
          </w:p>
        </w:tc>
        <w:tc>
          <w:tcPr>
            <w:tcW w:w="1365" w:type="dxa"/>
            <w:noWrap w:val="0"/>
            <w:vAlign w:val="center"/>
          </w:tcPr>
          <w:p w14:paraId="6CCA4056">
            <w:pPr>
              <w:shd w:val="clea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w:t>
            </w:r>
          </w:p>
        </w:tc>
        <w:tc>
          <w:tcPr>
            <w:tcW w:w="5561" w:type="dxa"/>
            <w:noWrap w:val="0"/>
            <w:vAlign w:val="center"/>
          </w:tcPr>
          <w:p w14:paraId="1D6AA7F0">
            <w:pPr>
              <w:shd w:val="clea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标识符号含义</w:t>
            </w:r>
          </w:p>
        </w:tc>
      </w:tr>
      <w:tr w14:paraId="1935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3F7E882F">
            <w:pPr>
              <w:shd w:val="clear"/>
              <w:snapToGrid w:val="0"/>
              <w:spacing w:line="360" w:lineRule="auto"/>
              <w:jc w:val="center"/>
              <w:rPr>
                <w:rFonts w:hint="default" w:ascii="宋体" w:hAnsi="宋体" w:eastAsia="宋体" w:cs="宋体"/>
                <w:bCs/>
                <w:sz w:val="24"/>
                <w:szCs w:val="24"/>
                <w:highlight w:val="none"/>
                <w:lang w:val="en-US" w:eastAsia="zh-CN"/>
              </w:rPr>
            </w:pPr>
            <w:r>
              <w:rPr>
                <w:rFonts w:hint="eastAsia" w:ascii="宋体" w:hAnsi="宋体" w:cs="宋体"/>
                <w:bCs/>
                <w:sz w:val="24"/>
                <w:szCs w:val="24"/>
                <w:highlight w:val="none"/>
                <w:lang w:val="en-US" w:eastAsia="zh-CN"/>
              </w:rPr>
              <w:t>否决投标项</w:t>
            </w:r>
          </w:p>
        </w:tc>
        <w:tc>
          <w:tcPr>
            <w:tcW w:w="1365" w:type="dxa"/>
            <w:noWrap w:val="0"/>
            <w:vAlign w:val="center"/>
          </w:tcPr>
          <w:p w14:paraId="10A3EDC5">
            <w:pPr>
              <w:shd w:val="clear"/>
              <w:snapToGrid w:val="0"/>
              <w:spacing w:line="360" w:lineRule="auto"/>
              <w:jc w:val="center"/>
              <w:rPr>
                <w:rFonts w:hint="eastAsia" w:ascii="宋体" w:hAnsi="宋体" w:cs="宋体"/>
                <w:bCs/>
                <w:sz w:val="24"/>
                <w:szCs w:val="24"/>
                <w:highlight w:val="none"/>
                <w:lang w:eastAsia="zh-CN"/>
              </w:rPr>
            </w:pPr>
            <w:r>
              <w:rPr>
                <w:rFonts w:hint="eastAsia" w:ascii="宋体" w:hAnsi="宋体" w:eastAsia="宋体" w:cs="宋体"/>
                <w:b/>
                <w:bCs w:val="0"/>
                <w:color w:val="auto"/>
                <w:kern w:val="2"/>
                <w:sz w:val="24"/>
                <w:szCs w:val="24"/>
                <w:lang w:val="en-US" w:eastAsia="zh-CN" w:bidi="ar"/>
              </w:rPr>
              <w:t>★</w:t>
            </w:r>
          </w:p>
        </w:tc>
        <w:tc>
          <w:tcPr>
            <w:tcW w:w="5561" w:type="dxa"/>
            <w:noWrap w:val="0"/>
            <w:vAlign w:val="center"/>
          </w:tcPr>
          <w:p w14:paraId="405865A9">
            <w:pPr>
              <w:shd w:val="clear"/>
              <w:snapToGrid w:val="0"/>
              <w:spacing w:line="360" w:lineRule="auto"/>
              <w:jc w:val="center"/>
              <w:rPr>
                <w:rFonts w:hint="default" w:ascii="宋体" w:hAnsi="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如有，为否决投标项，不允许负偏离</w:t>
            </w:r>
          </w:p>
        </w:tc>
      </w:tr>
      <w:tr w14:paraId="0D6D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5423D536">
            <w:pPr>
              <w:shd w:val="clear"/>
              <w:snapToGrid w:val="0"/>
              <w:spacing w:line="360" w:lineRule="auto"/>
              <w:jc w:val="center"/>
              <w:rPr>
                <w:rFonts w:hint="eastAsia" w:ascii="宋体" w:hAnsi="宋体" w:cs="宋体"/>
                <w:color w:val="000000"/>
                <w:sz w:val="24"/>
                <w:szCs w:val="24"/>
                <w:highlight w:val="none"/>
              </w:rPr>
            </w:pPr>
            <w:r>
              <w:rPr>
                <w:rFonts w:hint="eastAsia" w:ascii="宋体" w:hAnsi="宋体" w:cs="宋体"/>
                <w:bCs/>
                <w:sz w:val="24"/>
                <w:szCs w:val="24"/>
                <w:highlight w:val="none"/>
              </w:rPr>
              <w:t>关键性指标项</w:t>
            </w:r>
          </w:p>
        </w:tc>
        <w:tc>
          <w:tcPr>
            <w:tcW w:w="1365" w:type="dxa"/>
            <w:noWrap w:val="0"/>
            <w:vAlign w:val="center"/>
          </w:tcPr>
          <w:p w14:paraId="5742C8BD">
            <w:pPr>
              <w:shd w:val="clear"/>
              <w:snapToGrid w:val="0"/>
              <w:spacing w:line="360" w:lineRule="auto"/>
              <w:jc w:val="center"/>
              <w:rPr>
                <w:rFonts w:hint="eastAsia" w:ascii="宋体" w:hAnsi="宋体" w:eastAsia="宋体" w:cs="宋体"/>
                <w:bCs/>
                <w:color w:val="000000"/>
                <w:sz w:val="24"/>
                <w:szCs w:val="24"/>
                <w:highlight w:val="none"/>
                <w:lang w:eastAsia="zh-CN"/>
              </w:rPr>
            </w:pPr>
            <w:r>
              <w:rPr>
                <w:rFonts w:hint="eastAsia" w:ascii="宋体" w:hAnsi="宋体" w:cs="宋体"/>
                <w:bCs/>
                <w:sz w:val="24"/>
                <w:szCs w:val="24"/>
                <w:highlight w:val="none"/>
                <w:lang w:eastAsia="zh-CN"/>
              </w:rPr>
              <w:t>■</w:t>
            </w:r>
          </w:p>
        </w:tc>
        <w:tc>
          <w:tcPr>
            <w:tcW w:w="5561" w:type="dxa"/>
            <w:noWrap w:val="0"/>
            <w:vAlign w:val="center"/>
          </w:tcPr>
          <w:p w14:paraId="5D4A4C89">
            <w:pPr>
              <w:shd w:val="clear"/>
              <w:snapToGrid w:val="0"/>
              <w:spacing w:line="360" w:lineRule="auto"/>
              <w:jc w:val="center"/>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如有，为评分项，详见第四章 评审办法</w:t>
            </w:r>
          </w:p>
        </w:tc>
      </w:tr>
      <w:tr w14:paraId="5239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4EADD6C1">
            <w:pPr>
              <w:widowControl/>
              <w:shd w:val="clear"/>
              <w:spacing w:line="360" w:lineRule="auto"/>
              <w:jc w:val="center"/>
              <w:rPr>
                <w:rFonts w:hint="eastAsia" w:ascii="宋体" w:hAnsi="宋体" w:cs="宋体"/>
                <w:color w:val="000000"/>
                <w:sz w:val="24"/>
                <w:szCs w:val="24"/>
                <w:highlight w:val="none"/>
              </w:rPr>
            </w:pPr>
            <w:r>
              <w:rPr>
                <w:rFonts w:hint="eastAsia" w:ascii="宋体" w:hAnsi="宋体" w:cs="宋体"/>
                <w:bCs/>
                <w:color w:val="000000"/>
                <w:kern w:val="0"/>
                <w:sz w:val="24"/>
                <w:szCs w:val="24"/>
                <w:highlight w:val="none"/>
                <w:lang w:bidi="ar"/>
              </w:rPr>
              <w:t>无标识项</w:t>
            </w:r>
          </w:p>
        </w:tc>
        <w:tc>
          <w:tcPr>
            <w:tcW w:w="1365" w:type="dxa"/>
            <w:noWrap w:val="0"/>
            <w:vAlign w:val="center"/>
          </w:tcPr>
          <w:p w14:paraId="22B3EF18">
            <w:pPr>
              <w:shd w:val="clear"/>
              <w:spacing w:line="360" w:lineRule="auto"/>
              <w:jc w:val="center"/>
              <w:rPr>
                <w:rFonts w:hint="eastAsia" w:ascii="宋体" w:hAnsi="宋体" w:cs="宋体"/>
                <w:bCs/>
                <w:color w:val="000000"/>
                <w:sz w:val="24"/>
                <w:szCs w:val="24"/>
                <w:highlight w:val="none"/>
              </w:rPr>
            </w:pPr>
          </w:p>
        </w:tc>
        <w:tc>
          <w:tcPr>
            <w:tcW w:w="5561" w:type="dxa"/>
            <w:noWrap w:val="0"/>
            <w:vAlign w:val="center"/>
          </w:tcPr>
          <w:p w14:paraId="092C9DD0">
            <w:pPr>
              <w:widowControl/>
              <w:shd w:val="clear"/>
              <w:spacing w:line="360" w:lineRule="auto"/>
              <w:jc w:val="center"/>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评分项，详见第四章 评审办法</w:t>
            </w:r>
          </w:p>
        </w:tc>
      </w:tr>
      <w:tr w14:paraId="2641C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3222C057">
            <w:pPr>
              <w:shd w:val="clea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注：如某项标识中包含多条技术参数或要求，则该项标识所含内容均需满足或优于采购文件要求，否则不予认可。</w:t>
            </w:r>
          </w:p>
        </w:tc>
      </w:tr>
    </w:tbl>
    <w:p w14:paraId="30B96CD3">
      <w:pPr>
        <w:widowControl/>
        <w:shd w:val="clear"/>
        <w:snapToGrid w:val="0"/>
        <w:spacing w:line="360" w:lineRule="auto"/>
        <w:ind w:firstLine="482" w:firstLineChars="200"/>
        <w:jc w:val="both"/>
        <w:outlineLvl w:val="2"/>
        <w:rPr>
          <w:rFonts w:hint="eastAsia" w:ascii="宋体" w:hAnsi="宋体" w:cs="宋体"/>
          <w:b/>
          <w:bCs/>
          <w:sz w:val="24"/>
          <w:szCs w:val="24"/>
          <w:highlight w:val="none"/>
        </w:rPr>
      </w:pPr>
    </w:p>
    <w:p w14:paraId="623E025E">
      <w:pPr>
        <w:widowControl/>
        <w:shd w:val="clear"/>
        <w:snapToGrid w:val="0"/>
        <w:spacing w:line="360" w:lineRule="auto"/>
        <w:ind w:firstLine="482" w:firstLineChars="200"/>
        <w:jc w:val="both"/>
        <w:outlineLvl w:val="2"/>
        <w:rPr>
          <w:rFonts w:hint="eastAsia" w:ascii="宋体" w:hAnsi="宋体" w:cs="宋体"/>
          <w:b/>
          <w:bCs/>
          <w:sz w:val="24"/>
          <w:szCs w:val="24"/>
          <w:highlight w:val="none"/>
          <w:lang w:val="en-US" w:eastAsia="zh-CN"/>
        </w:rPr>
      </w:pPr>
      <w:r>
        <w:rPr>
          <w:rFonts w:hint="eastAsia" w:ascii="宋体" w:hAnsi="宋体" w:cs="宋体"/>
          <w:b/>
          <w:bCs/>
          <w:sz w:val="24"/>
          <w:szCs w:val="24"/>
          <w:highlight w:val="none"/>
        </w:rPr>
        <w:t>（二）</w:t>
      </w:r>
      <w:r>
        <w:rPr>
          <w:rFonts w:hint="eastAsia" w:ascii="宋体" w:hAnsi="宋体" w:cs="宋体"/>
          <w:b/>
          <w:bCs/>
          <w:sz w:val="24"/>
          <w:szCs w:val="24"/>
          <w:highlight w:val="none"/>
          <w:lang w:val="en-US" w:eastAsia="zh-CN"/>
        </w:rPr>
        <w:t>技术参数</w:t>
      </w:r>
    </w:p>
    <w:p w14:paraId="3C006D5B">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bookmarkStart w:id="3" w:name="_Toc7421"/>
      <w:bookmarkStart w:id="4" w:name="_Toc4843"/>
      <w:r>
        <w:rPr>
          <w:rFonts w:hint="eastAsia" w:ascii="宋体" w:hAnsi="宋体" w:eastAsia="宋体" w:cs="宋体"/>
          <w:bCs/>
          <w:kern w:val="2"/>
          <w:sz w:val="24"/>
          <w:szCs w:val="24"/>
          <w:lang w:val="en-US" w:eastAsia="zh-CN" w:bidi="ar"/>
        </w:rPr>
        <w:t>一 功能要求</w:t>
      </w:r>
    </w:p>
    <w:p w14:paraId="2B44D065">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r>
        <w:rPr>
          <w:rFonts w:hint="eastAsia" w:ascii="宋体" w:hAnsi="宋体" w:eastAsia="宋体" w:cs="宋体"/>
          <w:bCs/>
          <w:kern w:val="2"/>
          <w:sz w:val="24"/>
          <w:szCs w:val="24"/>
          <w:lang w:val="en-US" w:eastAsia="zh-CN" w:bidi="ar"/>
        </w:rPr>
        <w:t>1 测定功能要求</w:t>
      </w:r>
    </w:p>
    <w:p w14:paraId="04FEEBA8">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r>
        <w:rPr>
          <w:rFonts w:hint="eastAsia" w:ascii="宋体" w:hAnsi="宋体" w:eastAsia="宋体" w:cs="宋体"/>
          <w:bCs/>
          <w:kern w:val="2"/>
          <w:sz w:val="24"/>
          <w:szCs w:val="24"/>
          <w:lang w:val="en-US" w:eastAsia="zh-CN" w:bidi="ar"/>
        </w:rPr>
        <w:t>■1.1 肺通气功能检查，包括：流速容量环；潮气量；呼吸频率；最大肺活量；用力肺活量； 一秒量；二秒量；三秒量；一秒率；通气量； 深吸气量；补呼气量；补吸气量；吸气峰值流速；呼气峰值流速；吸气肺活量；呼气肺活量；最大通气量等</w:t>
      </w:r>
      <w:r>
        <w:rPr>
          <w:rFonts w:hint="eastAsia" w:ascii="宋体" w:hAnsi="宋体" w:cs="宋体"/>
          <w:bCs/>
          <w:kern w:val="2"/>
          <w:sz w:val="24"/>
          <w:szCs w:val="24"/>
          <w:lang w:val="en-US" w:eastAsia="zh-CN" w:bidi="ar"/>
        </w:rPr>
        <w:t>。</w:t>
      </w:r>
    </w:p>
    <w:p w14:paraId="50FD978F">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r>
        <w:rPr>
          <w:rFonts w:hint="eastAsia" w:ascii="宋体" w:hAnsi="宋体" w:eastAsia="宋体" w:cs="宋体"/>
          <w:bCs/>
          <w:kern w:val="2"/>
          <w:sz w:val="24"/>
          <w:szCs w:val="24"/>
          <w:lang w:val="en-US" w:eastAsia="zh-CN" w:bidi="ar"/>
        </w:rPr>
        <w:t>1.2 实时快速一口气气体稀释法残气测定，包括残气量、功能残气量、肺总量、残总比等等</w:t>
      </w:r>
      <w:r>
        <w:rPr>
          <w:rFonts w:hint="eastAsia" w:ascii="宋体" w:hAnsi="宋体" w:cs="宋体"/>
          <w:bCs/>
          <w:kern w:val="2"/>
          <w:sz w:val="24"/>
          <w:szCs w:val="24"/>
          <w:lang w:val="en-US" w:eastAsia="zh-CN" w:bidi="ar"/>
        </w:rPr>
        <w:t>。</w:t>
      </w:r>
    </w:p>
    <w:p w14:paraId="3EE60F38">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r>
        <w:rPr>
          <w:rFonts w:hint="eastAsia" w:ascii="宋体" w:hAnsi="宋体" w:eastAsia="宋体" w:cs="宋体"/>
          <w:bCs/>
          <w:kern w:val="2"/>
          <w:sz w:val="24"/>
          <w:szCs w:val="24"/>
          <w:lang w:val="en-US" w:eastAsia="zh-CN" w:bidi="ar"/>
        </w:rPr>
        <w:t>1.3 实时快速一口气法弥散功能检查，包括一氧化碳法弥散量；血红蛋白校正弥散量；弥散率； 弥散量；吸入CO浓度；功能残气/肺总量；校准(膜)弥散量； 肺泡通气量；校准(膜)弥散率；呼出CO浓度等</w:t>
      </w:r>
      <w:r>
        <w:rPr>
          <w:rFonts w:hint="eastAsia" w:ascii="宋体" w:hAnsi="宋体" w:cs="宋体"/>
          <w:bCs/>
          <w:kern w:val="2"/>
          <w:sz w:val="24"/>
          <w:szCs w:val="24"/>
          <w:lang w:val="en-US" w:eastAsia="zh-CN" w:bidi="ar"/>
        </w:rPr>
        <w:t>。</w:t>
      </w:r>
    </w:p>
    <w:p w14:paraId="0F63B207">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r>
        <w:rPr>
          <w:rFonts w:hint="eastAsia" w:ascii="宋体" w:hAnsi="宋体" w:eastAsia="宋体" w:cs="宋体"/>
          <w:bCs/>
          <w:kern w:val="2"/>
          <w:sz w:val="24"/>
          <w:szCs w:val="24"/>
          <w:lang w:val="en-US" w:eastAsia="zh-CN" w:bidi="ar"/>
        </w:rPr>
        <w:t>1.4 内呼吸法快速弥散功能检查，无需屏气，包括一氧化碳法弥散量；血红蛋白校正弥散量； 弥散率；弥散量；吸入CO浓度；功能残气/肺总量；校准(膜)弥散量； 肺泡通气量；校准(膜)弥散率；呼出CO浓度等</w:t>
      </w:r>
      <w:r>
        <w:rPr>
          <w:rFonts w:hint="eastAsia" w:ascii="宋体" w:hAnsi="宋体" w:cs="宋体"/>
          <w:bCs/>
          <w:kern w:val="2"/>
          <w:sz w:val="24"/>
          <w:szCs w:val="24"/>
          <w:lang w:val="en-US" w:eastAsia="zh-CN" w:bidi="ar"/>
        </w:rPr>
        <w:t>。</w:t>
      </w:r>
    </w:p>
    <w:p w14:paraId="6DDFF4C9">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r>
        <w:rPr>
          <w:rFonts w:hint="eastAsia" w:ascii="宋体" w:hAnsi="宋体" w:eastAsia="宋体" w:cs="宋体"/>
          <w:bCs/>
          <w:kern w:val="2"/>
          <w:sz w:val="24"/>
          <w:szCs w:val="24"/>
          <w:lang w:val="en-US" w:eastAsia="zh-CN" w:bidi="ar"/>
        </w:rPr>
        <w:t>1.5 适合不易配合患者的残气弥散测定：</w:t>
      </w:r>
    </w:p>
    <w:p w14:paraId="06D52A5A">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r>
        <w:rPr>
          <w:rFonts w:hint="eastAsia" w:ascii="宋体" w:hAnsi="宋体" w:eastAsia="宋体" w:cs="宋体"/>
          <w:bCs/>
          <w:kern w:val="2"/>
          <w:sz w:val="24"/>
          <w:szCs w:val="24"/>
          <w:lang w:val="en-US" w:eastAsia="zh-CN" w:bidi="ar"/>
        </w:rPr>
        <w:t>1.5.1 重复呼吸法He稀释法残气检查，包括RV-He残气量、FRC-He功能残气量、TLC-He肺总量、残总比等</w:t>
      </w:r>
      <w:r>
        <w:rPr>
          <w:rFonts w:hint="eastAsia" w:ascii="宋体" w:hAnsi="宋体" w:cs="宋体"/>
          <w:bCs/>
          <w:kern w:val="2"/>
          <w:sz w:val="24"/>
          <w:szCs w:val="24"/>
          <w:lang w:val="en-US" w:eastAsia="zh-CN" w:bidi="ar"/>
        </w:rPr>
        <w:t>；</w:t>
      </w:r>
    </w:p>
    <w:p w14:paraId="5E0091A0">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r>
        <w:rPr>
          <w:rFonts w:hint="eastAsia" w:ascii="宋体" w:hAnsi="宋体" w:eastAsia="宋体" w:cs="宋体"/>
          <w:bCs/>
          <w:kern w:val="2"/>
          <w:sz w:val="24"/>
          <w:szCs w:val="24"/>
          <w:lang w:val="en-US" w:eastAsia="zh-CN" w:bidi="ar"/>
        </w:rPr>
        <w:t>1.5.2 重复呼吸法标准CO法弥散功能检查，包括一氧化碳法DLCO</w:t>
      </w:r>
      <w:r>
        <w:rPr>
          <w:rFonts w:hint="eastAsia" w:ascii="宋体" w:hAnsi="宋体" w:cs="宋体"/>
          <w:bCs/>
          <w:kern w:val="2"/>
          <w:sz w:val="24"/>
          <w:szCs w:val="24"/>
          <w:lang w:val="en-US" w:eastAsia="zh-CN" w:bidi="ar"/>
        </w:rPr>
        <w:t>-</w:t>
      </w:r>
      <w:r>
        <w:rPr>
          <w:rFonts w:hint="eastAsia" w:ascii="宋体" w:hAnsi="宋体" w:eastAsia="宋体" w:cs="宋体"/>
          <w:bCs/>
          <w:kern w:val="2"/>
          <w:sz w:val="24"/>
          <w:szCs w:val="24"/>
          <w:lang w:val="en-US" w:eastAsia="zh-CN" w:bidi="ar"/>
        </w:rPr>
        <w:t>SB弥散量；COHb血红蛋白校正弥散量；KCO弥散率；FI-He吸入He浓度；RV/TLC残总比；DLCORB弥散量；FI-CO吸入CO浓度；FRC/TLC功能/肺总量；DLCOC校准(膜)弥散量；FA-He呼出He浓度；VA肺泡通气量；KCOC校准(膜)弥散率；FA-CO呼出CO浓度等屏气时间可修改</w:t>
      </w:r>
      <w:r>
        <w:rPr>
          <w:rFonts w:hint="eastAsia" w:ascii="宋体" w:hAnsi="宋体" w:cs="宋体"/>
          <w:bCs/>
          <w:kern w:val="2"/>
          <w:sz w:val="24"/>
          <w:szCs w:val="24"/>
          <w:lang w:val="en-US" w:eastAsia="zh-CN" w:bidi="ar"/>
        </w:rPr>
        <w:t>；</w:t>
      </w:r>
    </w:p>
    <w:p w14:paraId="67579E92">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r>
        <w:rPr>
          <w:rFonts w:hint="eastAsia" w:ascii="宋体" w:hAnsi="宋体" w:eastAsia="宋体" w:cs="宋体"/>
          <w:bCs/>
          <w:kern w:val="2"/>
          <w:sz w:val="24"/>
          <w:szCs w:val="24"/>
          <w:lang w:val="en-US" w:eastAsia="zh-CN" w:bidi="ar"/>
        </w:rPr>
        <w:t>1.6 支气管药物舒张试验前后肺功能对比检查，包括：药物舒张试验规程设置；吸药前后肺功能对比；药物使用效果评定等</w:t>
      </w:r>
      <w:r>
        <w:rPr>
          <w:rFonts w:hint="eastAsia" w:ascii="宋体" w:hAnsi="宋体" w:cs="宋体"/>
          <w:bCs/>
          <w:kern w:val="2"/>
          <w:sz w:val="24"/>
          <w:szCs w:val="24"/>
          <w:lang w:val="en-US" w:eastAsia="zh-CN" w:bidi="ar"/>
        </w:rPr>
        <w:t>。</w:t>
      </w:r>
    </w:p>
    <w:p w14:paraId="49337A85">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r>
        <w:rPr>
          <w:rFonts w:hint="eastAsia" w:ascii="宋体" w:hAnsi="宋体" w:eastAsia="宋体" w:cs="宋体"/>
          <w:bCs/>
          <w:kern w:val="2"/>
          <w:sz w:val="24"/>
          <w:szCs w:val="24"/>
          <w:lang w:val="en-US" w:eastAsia="zh-CN" w:bidi="ar"/>
        </w:rPr>
        <w:t xml:space="preserve"> </w:t>
      </w:r>
    </w:p>
    <w:p w14:paraId="2638A9BC">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r>
        <w:rPr>
          <w:rFonts w:hint="eastAsia" w:ascii="宋体" w:hAnsi="宋体" w:eastAsia="宋体" w:cs="宋体"/>
          <w:bCs/>
          <w:kern w:val="2"/>
          <w:sz w:val="24"/>
          <w:szCs w:val="24"/>
          <w:lang w:val="en-US" w:eastAsia="zh-CN" w:bidi="ar"/>
        </w:rPr>
        <w:t>二 技术参数要求</w:t>
      </w:r>
    </w:p>
    <w:p w14:paraId="6C19FDA2">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kern w:val="2"/>
          <w:sz w:val="24"/>
          <w:szCs w:val="24"/>
        </w:rPr>
      </w:pPr>
      <w:r>
        <w:rPr>
          <w:rFonts w:hint="eastAsia" w:ascii="宋体" w:hAnsi="宋体" w:eastAsia="宋体" w:cs="宋体"/>
          <w:bCs/>
          <w:kern w:val="2"/>
          <w:sz w:val="24"/>
          <w:szCs w:val="24"/>
          <w:lang w:val="en-US" w:eastAsia="zh-CN" w:bidi="ar"/>
        </w:rPr>
        <w:t>2.1 呼吸流量测定：</w:t>
      </w:r>
    </w:p>
    <w:p w14:paraId="23604C73">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kern w:val="2"/>
          <w:sz w:val="24"/>
          <w:szCs w:val="24"/>
          <w:lang w:val="en-US" w:eastAsia="zh-CN" w:bidi="ar"/>
        </w:rPr>
        <w:t>2.1.1 压差式流速传感器或</w:t>
      </w:r>
      <w:r>
        <w:rPr>
          <w:rFonts w:hint="eastAsia" w:ascii="宋体" w:hAnsi="宋体" w:eastAsia="宋体" w:cs="宋体"/>
          <w:bCs/>
          <w:color w:val="auto"/>
          <w:kern w:val="2"/>
          <w:sz w:val="24"/>
          <w:szCs w:val="24"/>
          <w:lang w:val="en-US" w:eastAsia="zh-CN" w:bidi="ar"/>
        </w:rPr>
        <w:t>热线式流速传感器或超声流量传感器</w:t>
      </w:r>
    </w:p>
    <w:p w14:paraId="44DA7FC3">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 xml:space="preserve">2.1.2 流速传感器具备三流速线性容积定标功能，具备3升定标筒 </w:t>
      </w:r>
    </w:p>
    <w:p w14:paraId="17B3F617">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 xml:space="preserve">■2.1.3 阻力≤0.05Kpa/L/S  </w:t>
      </w:r>
    </w:p>
    <w:p w14:paraId="7EBA42BC">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2.1.4 测量范围：0－20L／S</w:t>
      </w:r>
    </w:p>
    <w:p w14:paraId="5144C5E9">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2.1.5 分辨率：10ML／S</w:t>
      </w:r>
    </w:p>
    <w:p w14:paraId="3E69B588">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2.1.6 测量误差：＜2％</w:t>
      </w:r>
    </w:p>
    <w:p w14:paraId="65A129FC">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2.1.7 单个流速传感器正常使用寿命五年以上</w:t>
      </w:r>
    </w:p>
    <w:p w14:paraId="34792221">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■2.2 气体分析器   具备满足测量需求的各类气体分析器如：CO分析器、CH4气体分析器等</w:t>
      </w:r>
    </w:p>
    <w:p w14:paraId="4DBDA5B1">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2.</w:t>
      </w:r>
      <w:r>
        <w:rPr>
          <w:rFonts w:hint="eastAsia" w:ascii="宋体" w:hAnsi="宋体" w:cs="宋体"/>
          <w:bCs/>
          <w:color w:val="auto"/>
          <w:kern w:val="2"/>
          <w:sz w:val="24"/>
          <w:szCs w:val="24"/>
          <w:lang w:val="en-US" w:eastAsia="zh-CN" w:bidi="ar"/>
        </w:rPr>
        <w:t>3</w:t>
      </w:r>
      <w:r>
        <w:rPr>
          <w:rFonts w:hint="eastAsia" w:ascii="宋体" w:hAnsi="宋体" w:eastAsia="宋体" w:cs="宋体"/>
          <w:bCs/>
          <w:color w:val="auto"/>
          <w:kern w:val="2"/>
          <w:sz w:val="24"/>
          <w:szCs w:val="24"/>
          <w:lang w:val="en-US" w:eastAsia="zh-CN" w:bidi="ar"/>
        </w:rPr>
        <w:t xml:space="preserve"> 环境采样传感器</w:t>
      </w:r>
    </w:p>
    <w:p w14:paraId="22A5C0B3">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2.</w:t>
      </w:r>
      <w:r>
        <w:rPr>
          <w:rFonts w:hint="eastAsia" w:ascii="宋体" w:hAnsi="宋体" w:cs="宋体"/>
          <w:bCs/>
          <w:color w:val="auto"/>
          <w:kern w:val="2"/>
          <w:sz w:val="24"/>
          <w:szCs w:val="24"/>
          <w:lang w:val="en-US" w:eastAsia="zh-CN" w:bidi="ar"/>
        </w:rPr>
        <w:t>3</w:t>
      </w:r>
      <w:r>
        <w:rPr>
          <w:rFonts w:hint="eastAsia" w:ascii="宋体" w:hAnsi="宋体" w:eastAsia="宋体" w:cs="宋体"/>
          <w:bCs/>
          <w:color w:val="auto"/>
          <w:kern w:val="2"/>
          <w:sz w:val="24"/>
          <w:szCs w:val="24"/>
          <w:lang w:val="en-US" w:eastAsia="zh-CN" w:bidi="ar"/>
        </w:rPr>
        <w:t xml:space="preserve">.1 大气压采样传感器：范围550-1050pa，精度±5hPa  </w:t>
      </w:r>
    </w:p>
    <w:p w14:paraId="7360579D">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2.</w:t>
      </w:r>
      <w:r>
        <w:rPr>
          <w:rFonts w:hint="eastAsia" w:ascii="宋体" w:hAnsi="宋体" w:cs="宋体"/>
          <w:bCs/>
          <w:color w:val="auto"/>
          <w:kern w:val="2"/>
          <w:sz w:val="24"/>
          <w:szCs w:val="24"/>
          <w:lang w:val="en-US" w:eastAsia="zh-CN" w:bidi="ar"/>
        </w:rPr>
        <w:t>3</w:t>
      </w:r>
      <w:r>
        <w:rPr>
          <w:rFonts w:hint="eastAsia" w:ascii="宋体" w:hAnsi="宋体" w:eastAsia="宋体" w:cs="宋体"/>
          <w:bCs/>
          <w:color w:val="auto"/>
          <w:kern w:val="2"/>
          <w:sz w:val="24"/>
          <w:szCs w:val="24"/>
          <w:lang w:val="en-US" w:eastAsia="zh-CN" w:bidi="ar"/>
        </w:rPr>
        <w:t>.2 温度采样传感器：范围0℃~40℃，精度:±1℃</w:t>
      </w:r>
    </w:p>
    <w:p w14:paraId="5E3B73B8">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2.</w:t>
      </w:r>
      <w:r>
        <w:rPr>
          <w:rFonts w:hint="eastAsia" w:ascii="宋体" w:hAnsi="宋体" w:cs="宋体"/>
          <w:bCs/>
          <w:color w:val="auto"/>
          <w:kern w:val="2"/>
          <w:sz w:val="24"/>
          <w:szCs w:val="24"/>
          <w:lang w:val="en-US" w:eastAsia="zh-CN" w:bidi="ar"/>
        </w:rPr>
        <w:t>3</w:t>
      </w:r>
      <w:r>
        <w:rPr>
          <w:rFonts w:hint="eastAsia" w:ascii="宋体" w:hAnsi="宋体" w:eastAsia="宋体" w:cs="宋体"/>
          <w:bCs/>
          <w:color w:val="auto"/>
          <w:kern w:val="2"/>
          <w:sz w:val="24"/>
          <w:szCs w:val="24"/>
          <w:lang w:val="en-US" w:eastAsia="zh-CN" w:bidi="ar"/>
        </w:rPr>
        <w:t>.3 湿度采样传感器：范围0~99%，精度±5%</w:t>
      </w:r>
    </w:p>
    <w:p w14:paraId="5B07A9A2">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2.</w:t>
      </w:r>
      <w:r>
        <w:rPr>
          <w:rFonts w:hint="eastAsia" w:ascii="宋体" w:hAnsi="宋体" w:cs="宋体"/>
          <w:bCs/>
          <w:color w:val="auto"/>
          <w:kern w:val="2"/>
          <w:sz w:val="24"/>
          <w:szCs w:val="24"/>
          <w:lang w:val="en-US" w:eastAsia="zh-CN" w:bidi="ar"/>
        </w:rPr>
        <w:t>4</w:t>
      </w:r>
      <w:r>
        <w:rPr>
          <w:rFonts w:hint="eastAsia" w:ascii="宋体" w:hAnsi="宋体" w:eastAsia="宋体" w:cs="宋体"/>
          <w:bCs/>
          <w:color w:val="auto"/>
          <w:kern w:val="2"/>
          <w:sz w:val="24"/>
          <w:szCs w:val="24"/>
          <w:lang w:val="en-US" w:eastAsia="zh-CN" w:bidi="ar"/>
        </w:rPr>
        <w:t xml:space="preserve"> 仪器可测定患者年龄段在4岁及以上</w:t>
      </w:r>
    </w:p>
    <w:p w14:paraId="4C9F8ECB">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2.</w:t>
      </w:r>
      <w:r>
        <w:rPr>
          <w:rFonts w:hint="eastAsia" w:ascii="宋体" w:hAnsi="宋体" w:cs="宋体"/>
          <w:bCs/>
          <w:color w:val="auto"/>
          <w:kern w:val="2"/>
          <w:sz w:val="24"/>
          <w:szCs w:val="24"/>
          <w:lang w:val="en-US" w:eastAsia="zh-CN" w:bidi="ar"/>
        </w:rPr>
        <w:t>5</w:t>
      </w:r>
      <w:r>
        <w:rPr>
          <w:rFonts w:hint="eastAsia" w:ascii="宋体" w:hAnsi="宋体" w:eastAsia="宋体" w:cs="宋体"/>
          <w:bCs/>
          <w:color w:val="auto"/>
          <w:kern w:val="2"/>
          <w:sz w:val="24"/>
          <w:szCs w:val="24"/>
          <w:lang w:val="en-US" w:eastAsia="zh-CN" w:bidi="ar"/>
        </w:rPr>
        <w:t xml:space="preserve"> </w:t>
      </w:r>
      <w:r>
        <w:rPr>
          <w:rFonts w:hint="eastAsia" w:ascii="宋体" w:hAnsi="宋体" w:cs="宋体"/>
          <w:bCs/>
          <w:color w:val="auto"/>
          <w:kern w:val="2"/>
          <w:sz w:val="24"/>
          <w:szCs w:val="24"/>
          <w:lang w:val="en-US" w:eastAsia="zh-CN" w:bidi="ar"/>
        </w:rPr>
        <w:t>参选</w:t>
      </w:r>
      <w:r>
        <w:rPr>
          <w:rFonts w:hint="eastAsia" w:ascii="宋体" w:hAnsi="宋体" w:eastAsia="宋体" w:cs="宋体"/>
          <w:bCs/>
          <w:color w:val="auto"/>
          <w:kern w:val="2"/>
          <w:sz w:val="24"/>
          <w:szCs w:val="24"/>
          <w:lang w:val="en-US" w:eastAsia="zh-CN" w:bidi="ar"/>
        </w:rPr>
        <w:t>设备采用中文操作系统及具备中国人预计值系统，并开放预计值系统  ■2.</w:t>
      </w:r>
      <w:r>
        <w:rPr>
          <w:rFonts w:hint="eastAsia" w:ascii="宋体" w:hAnsi="宋体" w:cs="宋体"/>
          <w:bCs/>
          <w:color w:val="auto"/>
          <w:kern w:val="2"/>
          <w:sz w:val="24"/>
          <w:szCs w:val="24"/>
          <w:lang w:val="en-US" w:eastAsia="zh-CN" w:bidi="ar"/>
        </w:rPr>
        <w:t>6</w:t>
      </w:r>
      <w:r>
        <w:rPr>
          <w:rFonts w:hint="eastAsia" w:ascii="宋体" w:hAnsi="宋体" w:eastAsia="宋体" w:cs="宋体"/>
          <w:bCs/>
          <w:color w:val="auto"/>
          <w:kern w:val="2"/>
          <w:sz w:val="24"/>
          <w:szCs w:val="24"/>
          <w:lang w:val="en-US" w:eastAsia="zh-CN" w:bidi="ar"/>
        </w:rPr>
        <w:t xml:space="preserve"> 免费开放数据接口，可以传输体检者信息及检测结果。</w:t>
      </w:r>
    </w:p>
    <w:p w14:paraId="1178247A">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FF0000"/>
          <w:kern w:val="2"/>
          <w:sz w:val="24"/>
          <w:szCs w:val="24"/>
          <w:lang w:val="en-US" w:eastAsia="zh-CN" w:bidi="ar"/>
        </w:rPr>
      </w:pPr>
    </w:p>
    <w:p w14:paraId="73D31153">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val="en-US" w:eastAsia="zh-CN" w:bidi="ar"/>
        </w:rPr>
        <w:t>三、耗材易损件请单独报价</w:t>
      </w:r>
    </w:p>
    <w:p w14:paraId="1C447FE5">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FF0000"/>
          <w:kern w:val="2"/>
          <w:sz w:val="24"/>
          <w:szCs w:val="24"/>
          <w:lang w:val="en-US" w:eastAsia="zh-CN" w:bidi="ar"/>
        </w:rPr>
      </w:pPr>
    </w:p>
    <w:p w14:paraId="4297DB03">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lang w:val="en-US" w:eastAsia="zh-CN" w:bidi="ar"/>
        </w:rPr>
      </w:pPr>
      <w:r>
        <w:rPr>
          <w:rFonts w:hint="eastAsia" w:ascii="宋体" w:hAnsi="宋体" w:eastAsia="宋体" w:cs="宋体"/>
          <w:b/>
          <w:bCs w:val="0"/>
          <w:color w:val="auto"/>
          <w:kern w:val="2"/>
          <w:sz w:val="24"/>
          <w:szCs w:val="24"/>
          <w:lang w:val="en-US" w:eastAsia="zh-CN" w:bidi="ar"/>
        </w:rPr>
        <w:t>商务条款（必须满足）：</w:t>
      </w:r>
    </w:p>
    <w:p w14:paraId="10C9FDA6">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一、需免费提供样机供科室试用</w:t>
      </w:r>
    </w:p>
    <w:p w14:paraId="40111CA1">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cs="宋体"/>
          <w:b/>
          <w:bCs w:val="0"/>
          <w:color w:val="auto"/>
          <w:kern w:val="2"/>
          <w:sz w:val="24"/>
          <w:szCs w:val="24"/>
          <w:lang w:val="en-US" w:eastAsia="zh-CN" w:bidi="ar"/>
        </w:rPr>
        <w:t>二、</w:t>
      </w:r>
      <w:r>
        <w:rPr>
          <w:rFonts w:hint="eastAsia" w:ascii="宋体" w:hAnsi="宋体" w:eastAsia="宋体" w:cs="宋体"/>
          <w:b/>
          <w:bCs w:val="0"/>
          <w:color w:val="auto"/>
          <w:kern w:val="2"/>
          <w:sz w:val="24"/>
          <w:szCs w:val="24"/>
          <w:lang w:val="en-US" w:eastAsia="zh-CN" w:bidi="ar"/>
        </w:rPr>
        <w:t xml:space="preserve"> 配置要求</w:t>
      </w:r>
    </w:p>
    <w:p w14:paraId="5AED7BD2">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1 主机箱1套；</w:t>
      </w:r>
    </w:p>
    <w:p w14:paraId="200E9614">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2 原装原配可移动工作台1套；</w:t>
      </w:r>
    </w:p>
    <w:p w14:paraId="56FA8E7A">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3 气体分析盒 1套</w:t>
      </w:r>
    </w:p>
    <w:p w14:paraId="52251874">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4 带口压检查的用于常规通气、残气弥散测定的流速传感器手柄1套；</w:t>
      </w:r>
    </w:p>
    <w:p w14:paraId="174D1973">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5 口压检查的用于脉冲振荡气道阻力测定的流速传感器手柄1套；</w:t>
      </w:r>
    </w:p>
    <w:p w14:paraId="52C2F148">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6 流速传感器2套；</w:t>
      </w:r>
    </w:p>
    <w:p w14:paraId="42D3EDE4">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cs="宋体"/>
          <w:b/>
          <w:bCs w:val="0"/>
          <w:color w:val="auto"/>
          <w:kern w:val="2"/>
          <w:sz w:val="24"/>
          <w:szCs w:val="24"/>
          <w:lang w:val="en-US" w:eastAsia="zh-CN" w:bidi="ar"/>
        </w:rPr>
        <w:t>7</w:t>
      </w:r>
      <w:r>
        <w:rPr>
          <w:rFonts w:hint="eastAsia" w:ascii="宋体" w:hAnsi="宋体" w:eastAsia="宋体" w:cs="宋体"/>
          <w:b/>
          <w:bCs w:val="0"/>
          <w:color w:val="auto"/>
          <w:kern w:val="2"/>
          <w:sz w:val="24"/>
          <w:szCs w:val="24"/>
          <w:lang w:val="en-US" w:eastAsia="zh-CN" w:bidi="ar"/>
        </w:rPr>
        <w:t xml:space="preserve"> 自动环境参数测量模块1套；</w:t>
      </w:r>
    </w:p>
    <w:p w14:paraId="0417BC9A">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cs="宋体"/>
          <w:b/>
          <w:bCs w:val="0"/>
          <w:color w:val="auto"/>
          <w:kern w:val="2"/>
          <w:sz w:val="24"/>
          <w:szCs w:val="24"/>
          <w:lang w:val="en-US" w:eastAsia="zh-CN" w:bidi="ar"/>
        </w:rPr>
        <w:t>8</w:t>
      </w:r>
      <w:r>
        <w:rPr>
          <w:rFonts w:hint="eastAsia" w:ascii="宋体" w:hAnsi="宋体" w:eastAsia="宋体" w:cs="宋体"/>
          <w:b/>
          <w:bCs w:val="0"/>
          <w:color w:val="auto"/>
          <w:kern w:val="2"/>
          <w:sz w:val="24"/>
          <w:szCs w:val="24"/>
          <w:lang w:val="en-US" w:eastAsia="zh-CN" w:bidi="ar"/>
        </w:rPr>
        <w:t xml:space="preserve"> 气体采样电磁按需阀1套；</w:t>
      </w:r>
    </w:p>
    <w:p w14:paraId="14DFEDB2">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cs="宋体"/>
          <w:b/>
          <w:bCs w:val="0"/>
          <w:color w:val="auto"/>
          <w:kern w:val="2"/>
          <w:sz w:val="24"/>
          <w:szCs w:val="24"/>
          <w:lang w:val="en-US" w:eastAsia="zh-CN" w:bidi="ar"/>
        </w:rPr>
        <w:t>9</w:t>
      </w:r>
      <w:r>
        <w:rPr>
          <w:rFonts w:hint="eastAsia" w:ascii="宋体" w:hAnsi="宋体" w:eastAsia="宋体" w:cs="宋体"/>
          <w:b/>
          <w:bCs w:val="0"/>
          <w:color w:val="auto"/>
          <w:kern w:val="2"/>
          <w:sz w:val="24"/>
          <w:szCs w:val="24"/>
          <w:lang w:val="en-US" w:eastAsia="zh-CN" w:bidi="ar"/>
        </w:rPr>
        <w:t xml:space="preserve"> 气体全自动恒定压力型减压表1套；</w:t>
      </w:r>
    </w:p>
    <w:p w14:paraId="74DCA07A">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1</w:t>
      </w:r>
      <w:r>
        <w:rPr>
          <w:rFonts w:hint="eastAsia" w:ascii="宋体" w:hAnsi="宋体" w:cs="宋体"/>
          <w:b/>
          <w:bCs w:val="0"/>
          <w:color w:val="auto"/>
          <w:kern w:val="2"/>
          <w:sz w:val="24"/>
          <w:szCs w:val="24"/>
          <w:lang w:val="en-US" w:eastAsia="zh-CN" w:bidi="ar"/>
        </w:rPr>
        <w:t>0</w:t>
      </w:r>
      <w:r>
        <w:rPr>
          <w:rFonts w:hint="eastAsia" w:ascii="宋体" w:hAnsi="宋体" w:eastAsia="宋体" w:cs="宋体"/>
          <w:b/>
          <w:bCs w:val="0"/>
          <w:color w:val="auto"/>
          <w:kern w:val="2"/>
          <w:sz w:val="24"/>
          <w:szCs w:val="24"/>
          <w:lang w:val="en-US" w:eastAsia="zh-CN" w:bidi="ar"/>
        </w:rPr>
        <w:t xml:space="preserve"> 3升定标筒1套；</w:t>
      </w:r>
    </w:p>
    <w:p w14:paraId="4939AA0F">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1</w:t>
      </w:r>
      <w:r>
        <w:rPr>
          <w:rFonts w:hint="eastAsia" w:ascii="宋体" w:hAnsi="宋体" w:cs="宋体"/>
          <w:b/>
          <w:bCs w:val="0"/>
          <w:color w:val="auto"/>
          <w:kern w:val="2"/>
          <w:sz w:val="24"/>
          <w:szCs w:val="24"/>
          <w:lang w:val="en-US" w:eastAsia="zh-CN" w:bidi="ar"/>
        </w:rPr>
        <w:t>1</w:t>
      </w:r>
      <w:r>
        <w:rPr>
          <w:rFonts w:hint="eastAsia" w:ascii="宋体" w:hAnsi="宋体" w:eastAsia="宋体" w:cs="宋体"/>
          <w:b/>
          <w:bCs w:val="0"/>
          <w:color w:val="auto"/>
          <w:kern w:val="2"/>
          <w:sz w:val="24"/>
          <w:szCs w:val="24"/>
          <w:lang w:val="en-US" w:eastAsia="zh-CN" w:bidi="ar"/>
        </w:rPr>
        <w:t xml:space="preserve"> 肺功能测定软件1套；</w:t>
      </w:r>
    </w:p>
    <w:p w14:paraId="5B533531">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1</w:t>
      </w:r>
      <w:r>
        <w:rPr>
          <w:rFonts w:hint="eastAsia" w:ascii="宋体" w:hAnsi="宋体" w:cs="宋体"/>
          <w:b/>
          <w:bCs w:val="0"/>
          <w:color w:val="auto"/>
          <w:kern w:val="2"/>
          <w:sz w:val="24"/>
          <w:szCs w:val="24"/>
          <w:lang w:val="en-US" w:eastAsia="zh-CN" w:bidi="ar"/>
        </w:rPr>
        <w:t>2</w:t>
      </w:r>
      <w:r>
        <w:rPr>
          <w:rFonts w:hint="eastAsia" w:ascii="宋体" w:hAnsi="宋体" w:eastAsia="宋体" w:cs="宋体"/>
          <w:b/>
          <w:bCs w:val="0"/>
          <w:color w:val="auto"/>
          <w:kern w:val="2"/>
          <w:sz w:val="24"/>
          <w:szCs w:val="24"/>
          <w:lang w:val="en-US" w:eastAsia="zh-CN" w:bidi="ar"/>
        </w:rPr>
        <w:t xml:space="preserve"> 计算机设备1套；</w:t>
      </w:r>
    </w:p>
    <w:p w14:paraId="7CF860EB">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1</w:t>
      </w:r>
      <w:r>
        <w:rPr>
          <w:rFonts w:hint="eastAsia" w:ascii="宋体" w:hAnsi="宋体" w:cs="宋体"/>
          <w:b/>
          <w:bCs w:val="0"/>
          <w:color w:val="auto"/>
          <w:kern w:val="2"/>
          <w:sz w:val="24"/>
          <w:szCs w:val="24"/>
          <w:lang w:val="en-US" w:eastAsia="zh-CN" w:bidi="ar"/>
        </w:rPr>
        <w:t>3</w:t>
      </w:r>
      <w:r>
        <w:rPr>
          <w:rFonts w:hint="eastAsia" w:ascii="宋体" w:hAnsi="宋体" w:eastAsia="宋体" w:cs="宋体"/>
          <w:b/>
          <w:bCs w:val="0"/>
          <w:color w:val="auto"/>
          <w:kern w:val="2"/>
          <w:sz w:val="24"/>
          <w:szCs w:val="24"/>
          <w:lang w:val="en-US" w:eastAsia="zh-CN" w:bidi="ar"/>
        </w:rPr>
        <w:t xml:space="preserve"> 其他必须的配套组件及电缆连接线等。（必备45°弯头》4个） </w:t>
      </w:r>
    </w:p>
    <w:p w14:paraId="6483D61A">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cs="宋体"/>
          <w:b/>
          <w:bCs w:val="0"/>
          <w:color w:val="auto"/>
          <w:kern w:val="2"/>
          <w:sz w:val="24"/>
          <w:szCs w:val="24"/>
          <w:lang w:val="en-US" w:eastAsia="zh-CN" w:bidi="ar"/>
        </w:rPr>
        <w:t>三、</w:t>
      </w:r>
      <w:r>
        <w:rPr>
          <w:rFonts w:hint="eastAsia" w:ascii="宋体" w:hAnsi="宋体" w:eastAsia="宋体" w:cs="宋体"/>
          <w:b/>
          <w:bCs w:val="0"/>
          <w:color w:val="auto"/>
          <w:kern w:val="2"/>
          <w:sz w:val="24"/>
          <w:szCs w:val="24"/>
          <w:lang w:val="en-US" w:eastAsia="zh-CN" w:bidi="ar"/>
        </w:rPr>
        <w:t xml:space="preserve"> 其它要求</w:t>
      </w:r>
      <w:r>
        <w:rPr>
          <w:rFonts w:hint="eastAsia" w:ascii="宋体" w:hAnsi="宋体" w:cs="宋体"/>
          <w:b/>
          <w:bCs w:val="0"/>
          <w:color w:val="auto"/>
          <w:kern w:val="2"/>
          <w:sz w:val="24"/>
          <w:szCs w:val="24"/>
          <w:lang w:val="en-US" w:eastAsia="zh-CN" w:bidi="ar"/>
        </w:rPr>
        <w:t>（必须满足）</w:t>
      </w:r>
    </w:p>
    <w:p w14:paraId="42EC6796">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1 整机保修期≥5年</w:t>
      </w:r>
    </w:p>
    <w:p w14:paraId="02E94061">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2 维修及服务响应时间：对用户的售后服务要求应在2小时内响应，工程师于24小时内到达现场给出解决方案。</w:t>
      </w:r>
    </w:p>
    <w:p w14:paraId="5C9D77C9">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3 在保质期内出现问题，所产生的维修费用（包括零部件费用.运返费用等费用)均由供应商承担；在保质期满后，供应商对仪器应提供终身维修，仅收取零件更换费用，免收任何人工费用。</w:t>
      </w:r>
    </w:p>
    <w:p w14:paraId="6D18260A">
      <w:pPr>
        <w:keepNext w:val="0"/>
        <w:keepLines w:val="0"/>
        <w:widowControl w:val="0"/>
        <w:suppressLineNumbers w:val="0"/>
        <w:shd w:val="clear"/>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4 技术培训：卖方应免费对买方操作、维修人员进行一定时期的正规的整套设备操作、维护保养、检测等内容的技术培训。提供操作手册。</w:t>
      </w:r>
    </w:p>
    <w:p w14:paraId="3AC4D054">
      <w:pPr>
        <w:keepNext w:val="0"/>
        <w:keepLines w:val="0"/>
        <w:widowControl w:val="0"/>
        <w:suppressLineNumbers w:val="0"/>
        <w:shd w:val="clear"/>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p>
    <w:p w14:paraId="1C88B8CE">
      <w:pPr>
        <w:keepNext w:val="0"/>
        <w:keepLines w:val="0"/>
        <w:pageBreakBefore w:val="0"/>
        <w:widowControl w:val="0"/>
        <w:shd w:val="clear"/>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p>
    <w:bookmarkEnd w:id="3"/>
    <w:bookmarkEnd w:id="4"/>
    <w:p w14:paraId="2685E681">
      <w:pPr>
        <w:shd w:val="clear"/>
        <w:spacing w:line="360" w:lineRule="auto"/>
        <w:jc w:val="both"/>
        <w:outlineLvl w:val="1"/>
        <w:rPr>
          <w:rFonts w:hint="eastAsia" w:ascii="宋体" w:hAnsi="宋体" w:cs="@仿宋_GB2312"/>
          <w:b/>
          <w:bCs/>
          <w:sz w:val="24"/>
          <w:szCs w:val="24"/>
          <w:highlight w:val="none"/>
        </w:rPr>
      </w:pPr>
    </w:p>
    <w:p w14:paraId="2D6C3156">
      <w:pPr>
        <w:shd w:val="clea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三、报价要求</w:t>
      </w:r>
    </w:p>
    <w:p w14:paraId="642DBB60">
      <w:pPr>
        <w:shd w:val="clear"/>
        <w:spacing w:line="360" w:lineRule="auto"/>
        <w:ind w:firstLine="437"/>
        <w:jc w:val="both"/>
        <w:outlineLvl w:val="1"/>
        <w:rPr>
          <w:rFonts w:hint="eastAsia" w:ascii="宋体" w:hAnsi="宋体" w:cs="@仿宋_GB2312"/>
          <w:sz w:val="24"/>
          <w:szCs w:val="24"/>
          <w:highlight w:val="none"/>
        </w:rPr>
      </w:pPr>
      <w:r>
        <w:rPr>
          <w:rFonts w:hint="eastAsia" w:ascii="宋体" w:hAnsi="宋体" w:cs="@仿宋_GB2312"/>
          <w:sz w:val="24"/>
          <w:szCs w:val="24"/>
          <w:highlight w:val="none"/>
        </w:rPr>
        <w:t>本项目报总价，报价包含完成项目所需的一切费用（供应商负责所购全部产品的购置、包装、运输、人工、保险、安装、调试、各种税费、资料、售后服务及项目应有的全部工作）。</w:t>
      </w:r>
    </w:p>
    <w:p w14:paraId="164BEB29">
      <w:pPr>
        <w:shd w:val="clear"/>
        <w:spacing w:line="360" w:lineRule="auto"/>
        <w:ind w:firstLine="437"/>
        <w:jc w:val="both"/>
        <w:outlineLvl w:val="1"/>
        <w:rPr>
          <w:rFonts w:hint="eastAsia" w:ascii="宋体" w:hAnsi="宋体" w:cs="@仿宋_GB2312"/>
          <w:sz w:val="24"/>
          <w:szCs w:val="24"/>
          <w:highlight w:val="none"/>
        </w:rPr>
      </w:pPr>
      <w:bookmarkStart w:id="5" w:name="_GoBack"/>
    </w:p>
    <w:bookmarkEnd w:id="5"/>
    <w:p w14:paraId="71A423D1">
      <w:pPr>
        <w:shd w:val="clear"/>
        <w:spacing w:line="360" w:lineRule="auto"/>
        <w:ind w:firstLine="437"/>
        <w:jc w:val="both"/>
        <w:outlineLvl w:val="1"/>
        <w:rPr>
          <w:rFonts w:hint="eastAsia" w:ascii="宋体" w:hAnsi="宋体" w:eastAsia="宋体" w:cs="@仿宋_GB2312"/>
          <w:b/>
          <w:bCs/>
          <w:sz w:val="24"/>
          <w:szCs w:val="24"/>
          <w:highlight w:val="none"/>
          <w:lang w:val="en-US" w:eastAsia="zh-CN"/>
        </w:rPr>
      </w:pPr>
      <w:r>
        <w:rPr>
          <w:rFonts w:hint="eastAsia" w:ascii="宋体" w:hAnsi="宋体" w:eastAsia="宋体" w:cs="@仿宋_GB2312"/>
          <w:b/>
          <w:bCs/>
          <w:sz w:val="24"/>
          <w:szCs w:val="24"/>
          <w:highlight w:val="none"/>
          <w:lang w:val="en-US" w:eastAsia="zh-CN"/>
        </w:rPr>
        <w:t>四、其他要求</w:t>
      </w:r>
    </w:p>
    <w:p w14:paraId="0E356590">
      <w:pPr>
        <w:shd w:val="clear"/>
        <w:spacing w:line="360" w:lineRule="auto"/>
        <w:ind w:firstLine="437"/>
        <w:jc w:val="both"/>
        <w:outlineLvl w:val="1"/>
        <w:rPr>
          <w:rFonts w:hint="eastAsia" w:ascii="宋体" w:hAnsi="宋体" w:eastAsia="宋体" w:cs="@仿宋_GB2312"/>
          <w:b/>
          <w:bCs/>
          <w:color w:val="FF0000"/>
          <w:sz w:val="24"/>
          <w:szCs w:val="24"/>
          <w:highlight w:val="none"/>
          <w:lang w:val="en-US" w:eastAsia="zh-CN"/>
        </w:rPr>
      </w:pPr>
      <w:r>
        <w:rPr>
          <w:rFonts w:hint="eastAsia" w:ascii="宋体" w:hAnsi="宋体" w:eastAsia="宋体" w:cs="@仿宋_GB2312"/>
          <w:b/>
          <w:bCs/>
          <w:color w:val="FF0000"/>
          <w:sz w:val="24"/>
          <w:szCs w:val="24"/>
          <w:highlight w:val="none"/>
        </w:rPr>
        <w:t>本项目</w:t>
      </w:r>
      <w:r>
        <w:rPr>
          <w:rFonts w:hint="eastAsia" w:ascii="宋体" w:hAnsi="宋体" w:eastAsia="宋体" w:cs="@仿宋_GB2312"/>
          <w:b/>
          <w:bCs/>
          <w:color w:val="FF0000"/>
          <w:sz w:val="24"/>
          <w:szCs w:val="24"/>
          <w:highlight w:val="none"/>
          <w:lang w:val="en-US" w:eastAsia="zh-CN"/>
        </w:rPr>
        <w:t>成交</w:t>
      </w:r>
      <w:r>
        <w:rPr>
          <w:rFonts w:hint="eastAsia" w:ascii="宋体" w:hAnsi="宋体" w:eastAsia="宋体" w:cs="@仿宋_GB2312"/>
          <w:b/>
          <w:bCs/>
          <w:color w:val="FF0000"/>
          <w:sz w:val="24"/>
          <w:szCs w:val="24"/>
          <w:highlight w:val="none"/>
        </w:rPr>
        <w:t>单位须承诺，</w:t>
      </w:r>
      <w:r>
        <w:rPr>
          <w:rFonts w:hint="eastAsia" w:ascii="宋体" w:hAnsi="宋体" w:eastAsia="宋体" w:cs="@仿宋_GB2312"/>
          <w:b/>
          <w:bCs/>
          <w:color w:val="FF0000"/>
          <w:sz w:val="24"/>
          <w:szCs w:val="24"/>
          <w:highlight w:val="none"/>
          <w:lang w:val="en-US" w:eastAsia="zh-CN"/>
        </w:rPr>
        <w:t>成交</w:t>
      </w:r>
      <w:r>
        <w:rPr>
          <w:rFonts w:hint="eastAsia" w:ascii="宋体" w:hAnsi="宋体" w:eastAsia="宋体" w:cs="@仿宋_GB2312"/>
          <w:b/>
          <w:bCs/>
          <w:color w:val="FF0000"/>
          <w:sz w:val="24"/>
          <w:szCs w:val="24"/>
          <w:highlight w:val="none"/>
        </w:rPr>
        <w:t>后签订合同前提供所投产品制造商出具的质保及售后服务承诺函，否则视为放弃</w:t>
      </w:r>
      <w:r>
        <w:rPr>
          <w:rFonts w:hint="eastAsia" w:ascii="宋体" w:hAnsi="宋体" w:eastAsia="宋体" w:cs="@仿宋_GB2312"/>
          <w:b/>
          <w:bCs/>
          <w:color w:val="FF0000"/>
          <w:sz w:val="24"/>
          <w:szCs w:val="24"/>
          <w:highlight w:val="none"/>
          <w:lang w:val="en-US" w:eastAsia="zh-CN"/>
        </w:rPr>
        <w:t>成交</w:t>
      </w:r>
      <w:r>
        <w:rPr>
          <w:rFonts w:hint="eastAsia" w:ascii="宋体" w:hAnsi="宋体" w:eastAsia="宋体" w:cs="@仿宋_GB2312"/>
          <w:b/>
          <w:bCs/>
          <w:color w:val="FF0000"/>
          <w:sz w:val="24"/>
          <w:szCs w:val="24"/>
          <w:highlight w:val="none"/>
        </w:rPr>
        <w:t>资格。</w:t>
      </w:r>
    </w:p>
    <w:p w14:paraId="3121ED2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320CFA"/>
    <w:rsid w:val="5F320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xl31"/>
    <w:basedOn w:val="1"/>
    <w:qFormat/>
    <w:uiPriority w:val="0"/>
    <w:pPr>
      <w:widowControl/>
      <w:spacing w:before="100" w:beforeAutospacing="1" w:after="100" w:afterAutospacing="1"/>
      <w:jc w:val="center"/>
    </w:pPr>
    <w:rPr>
      <w:rFonts w:ascii="宋体" w:hAnsi="宋体"/>
      <w:b/>
      <w:bCs/>
      <w:kern w:val="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2026-10-22T10:33:00Z</dcterms:created>
  <dc:creator>省招-wxy</dc:creator>
  <cp:lastModifiedBy>省招-wxy</cp:lastModifiedBy>
  <dcterms:modified xsi:type="dcterms:W3CDTF">2026-10-22T10:33:25Z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7E2868637A75485A8FC113F95305230B_11</vt:lpwstr>
  </property>
  <property fmtid="{D5CDD505-2E9C-101B-9397-08002B2CF9AE}" pid="4" name="KSOTemplateDocerSaveRecord">
    <vt:lpwstr>eyJoZGlkIjoiZWUyOTQ1NDM2Zjc0YjU0MjZhMWI3YTAyMzgxNTM2MDQiLCJ1c2VySWQiOiI0NjEyMTI0ODEifQ==</vt:lpwstr>
  </property>
</Properties>
</file>