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5973F">
      <w:pPr>
        <w:pStyle w:val="2"/>
        <w:tabs>
          <w:tab w:val="left" w:pos="420"/>
        </w:tabs>
        <w:spacing w:line="360" w:lineRule="auto"/>
        <w:ind w:left="0" w:firstLine="0"/>
        <w:jc w:val="center"/>
        <w:rPr>
          <w:rFonts w:ascii="宋体" w:hAnsi="宋体"/>
          <w:szCs w:val="36"/>
          <w:highlight w:val="none"/>
        </w:rPr>
      </w:pPr>
      <w:r>
        <w:rPr>
          <w:rFonts w:hint="eastAsia" w:ascii="宋体" w:hAnsi="宋体"/>
          <w:szCs w:val="36"/>
          <w:highlight w:val="none"/>
        </w:rPr>
        <w:t>采购需求</w:t>
      </w:r>
    </w:p>
    <w:p w14:paraId="363CA063">
      <w:pPr>
        <w:spacing w:line="360" w:lineRule="auto"/>
        <w:jc w:val="both"/>
        <w:outlineLvl w:val="1"/>
        <w:rPr>
          <w:rFonts w:hint="eastAsia" w:ascii="宋体" w:hAnsi="宋体" w:cs="@仿宋_GB2312"/>
          <w:b/>
          <w:sz w:val="24"/>
          <w:szCs w:val="24"/>
          <w:highlight w:val="none"/>
        </w:rPr>
      </w:pPr>
      <w:bookmarkStart w:id="0" w:name="_Toc9765"/>
      <w:bookmarkStart w:id="1" w:name="_Toc26330"/>
      <w:r>
        <w:rPr>
          <w:rFonts w:hint="eastAsia" w:ascii="宋体" w:hAnsi="宋体" w:cs="@仿宋_GB2312"/>
          <w:b/>
          <w:sz w:val="24"/>
          <w:szCs w:val="24"/>
          <w:highlight w:val="none"/>
        </w:rPr>
        <w:t>采购需求前附表</w:t>
      </w:r>
      <w:bookmarkEnd w:id="0"/>
      <w:bookmarkEnd w:id="1"/>
    </w:p>
    <w:tbl>
      <w:tblPr>
        <w:tblStyle w:val="4"/>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53CE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0E2E932">
            <w:pPr>
              <w:spacing w:line="360" w:lineRule="auto"/>
              <w:jc w:val="center"/>
              <w:rPr>
                <w:rFonts w:hint="eastAsia" w:ascii="宋体" w:hAnsi="宋体" w:cs="@仿宋_GB2312"/>
                <w:b/>
                <w:sz w:val="24"/>
                <w:szCs w:val="24"/>
                <w:highlight w:val="none"/>
              </w:rPr>
            </w:pPr>
            <w:r>
              <w:rPr>
                <w:rFonts w:hint="eastAsia" w:ascii="宋体" w:hAnsi="宋体" w:cs="@仿宋_GB2312"/>
                <w:b/>
                <w:sz w:val="24"/>
                <w:szCs w:val="24"/>
                <w:highlight w:val="none"/>
              </w:rPr>
              <w:t>序号</w:t>
            </w:r>
          </w:p>
        </w:tc>
        <w:tc>
          <w:tcPr>
            <w:tcW w:w="2191" w:type="dxa"/>
            <w:noWrap w:val="0"/>
            <w:vAlign w:val="center"/>
          </w:tcPr>
          <w:p w14:paraId="737EAEE8">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条款名称</w:t>
            </w:r>
          </w:p>
        </w:tc>
        <w:tc>
          <w:tcPr>
            <w:tcW w:w="5476" w:type="dxa"/>
            <w:noWrap w:val="0"/>
            <w:vAlign w:val="center"/>
          </w:tcPr>
          <w:p w14:paraId="7503DF6F">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内容、说明与要求</w:t>
            </w:r>
          </w:p>
        </w:tc>
      </w:tr>
      <w:tr w14:paraId="220E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BC73801">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1</w:t>
            </w:r>
          </w:p>
        </w:tc>
        <w:tc>
          <w:tcPr>
            <w:tcW w:w="2191" w:type="dxa"/>
            <w:noWrap w:val="0"/>
            <w:vAlign w:val="center"/>
          </w:tcPr>
          <w:p w14:paraId="64F20CCA">
            <w:pPr>
              <w:pStyle w:val="6"/>
              <w:widowControl w:val="0"/>
              <w:spacing w:before="0" w:beforeAutospacing="0" w:after="0" w:afterAutospacing="0" w:line="360" w:lineRule="auto"/>
              <w:rPr>
                <w:rFonts w:hint="eastAsia" w:ascii="宋体" w:hAnsi="宋体" w:cs="@仿宋_GB2312"/>
                <w:bCs w:val="0"/>
                <w:kern w:val="0"/>
                <w:sz w:val="24"/>
                <w:szCs w:val="24"/>
                <w:highlight w:val="none"/>
              </w:rPr>
            </w:pPr>
            <w:r>
              <w:rPr>
                <w:rFonts w:hint="eastAsia" w:ascii="宋体" w:hAnsi="宋体" w:eastAsia="宋体"/>
                <w:b w:val="0"/>
                <w:sz w:val="24"/>
                <w:highlight w:val="none"/>
              </w:rPr>
              <w:t>付款方式</w:t>
            </w:r>
          </w:p>
        </w:tc>
        <w:tc>
          <w:tcPr>
            <w:tcW w:w="5476" w:type="dxa"/>
            <w:noWrap w:val="0"/>
            <w:vAlign w:val="center"/>
          </w:tcPr>
          <w:p w14:paraId="3D02797F">
            <w:pPr>
              <w:rPr>
                <w:rFonts w:hint="eastAsia" w:ascii="宋体" w:hAnsi="宋体" w:eastAsia="宋体" w:cs="@仿宋_GB2312"/>
                <w:bCs/>
                <w:kern w:val="0"/>
                <w:sz w:val="24"/>
                <w:szCs w:val="24"/>
                <w:highlight w:val="none"/>
              </w:rPr>
            </w:pPr>
            <w:r>
              <w:rPr>
                <w:rFonts w:hint="eastAsia" w:ascii="宋体" w:hAnsi="宋体" w:eastAsia="宋体" w:cs="@仿宋_GB2312"/>
                <w:bCs/>
                <w:kern w:val="0"/>
                <w:sz w:val="24"/>
                <w:szCs w:val="24"/>
                <w:highlight w:val="none"/>
              </w:rPr>
              <w:t>验收</w:t>
            </w:r>
            <w:r>
              <w:rPr>
                <w:rFonts w:hint="eastAsia" w:ascii="宋体" w:hAnsi="宋体" w:eastAsia="宋体" w:cs="@仿宋_GB2312"/>
                <w:bCs/>
                <w:kern w:val="0"/>
                <w:sz w:val="24"/>
                <w:szCs w:val="24"/>
                <w:highlight w:val="none"/>
                <w:lang w:val="en-US" w:eastAsia="zh-CN"/>
              </w:rPr>
              <w:t>合格</w:t>
            </w:r>
            <w:r>
              <w:rPr>
                <w:rFonts w:hint="eastAsia" w:ascii="宋体" w:hAnsi="宋体" w:eastAsia="宋体" w:cs="@仿宋_GB2312"/>
                <w:bCs/>
                <w:kern w:val="0"/>
                <w:sz w:val="24"/>
                <w:szCs w:val="24"/>
                <w:highlight w:val="none"/>
              </w:rPr>
              <w:t>通过后一次性支付</w:t>
            </w:r>
            <w:r>
              <w:rPr>
                <w:rFonts w:hint="eastAsia" w:ascii="宋体" w:hAnsi="宋体" w:eastAsia="宋体" w:cs="@仿宋_GB2312"/>
                <w:bCs/>
                <w:kern w:val="0"/>
                <w:sz w:val="24"/>
                <w:szCs w:val="24"/>
                <w:highlight w:val="none"/>
                <w:lang w:val="en-US" w:eastAsia="zh-CN"/>
              </w:rPr>
              <w:t>合同款</w:t>
            </w:r>
            <w:r>
              <w:rPr>
                <w:rFonts w:hint="eastAsia" w:ascii="宋体" w:hAnsi="宋体" w:eastAsia="宋体" w:cs="@仿宋_GB2312"/>
                <w:bCs/>
                <w:kern w:val="0"/>
                <w:sz w:val="24"/>
                <w:szCs w:val="24"/>
                <w:highlight w:val="none"/>
              </w:rPr>
              <w:t>。</w:t>
            </w:r>
          </w:p>
        </w:tc>
      </w:tr>
      <w:tr w14:paraId="4462F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5775105D">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2</w:t>
            </w:r>
          </w:p>
        </w:tc>
        <w:tc>
          <w:tcPr>
            <w:tcW w:w="2191" w:type="dxa"/>
            <w:noWrap w:val="0"/>
            <w:vAlign w:val="center"/>
          </w:tcPr>
          <w:p w14:paraId="48E0992F">
            <w:pPr>
              <w:spacing w:line="360" w:lineRule="auto"/>
              <w:jc w:val="center"/>
              <w:rPr>
                <w:rFonts w:hint="eastAsia" w:ascii="宋体" w:hAnsi="宋体" w:eastAsia="宋体" w:cs="@仿宋_GB2312"/>
                <w:bCs/>
                <w:kern w:val="0"/>
                <w:sz w:val="24"/>
                <w:szCs w:val="24"/>
                <w:highlight w:val="none"/>
                <w:lang w:eastAsia="zh-CN"/>
              </w:rPr>
            </w:pPr>
            <w:r>
              <w:rPr>
                <w:rFonts w:hint="eastAsia" w:ascii="宋体" w:hAnsi="宋体" w:cs="@仿宋_GB2312"/>
                <w:bCs/>
                <w:kern w:val="0"/>
                <w:sz w:val="24"/>
                <w:szCs w:val="24"/>
                <w:highlight w:val="none"/>
                <w:lang w:val="en-US" w:eastAsia="zh-CN"/>
              </w:rPr>
              <w:t>服务地点</w:t>
            </w:r>
          </w:p>
        </w:tc>
        <w:tc>
          <w:tcPr>
            <w:tcW w:w="5476" w:type="dxa"/>
            <w:noWrap w:val="0"/>
            <w:vAlign w:val="center"/>
          </w:tcPr>
          <w:p w14:paraId="54788388">
            <w:pPr>
              <w:spacing w:line="360" w:lineRule="auto"/>
              <w:jc w:val="both"/>
              <w:rPr>
                <w:rFonts w:hint="eastAsia" w:ascii="宋体" w:hAnsi="宋体" w:eastAsia="宋体" w:cs="@仿宋_GB2312"/>
                <w:bCs/>
                <w:kern w:val="0"/>
                <w:sz w:val="24"/>
                <w:szCs w:val="24"/>
                <w:highlight w:val="none"/>
              </w:rPr>
            </w:pPr>
            <w:r>
              <w:rPr>
                <w:rFonts w:hint="eastAsia" w:ascii="宋体" w:hAnsi="宋体" w:eastAsia="宋体" w:cs="@仿宋_GB2312"/>
                <w:bCs/>
                <w:kern w:val="0"/>
                <w:sz w:val="24"/>
                <w:szCs w:val="24"/>
                <w:highlight w:val="none"/>
              </w:rPr>
              <w:t>采购人指定地点</w:t>
            </w:r>
          </w:p>
        </w:tc>
      </w:tr>
      <w:tr w14:paraId="1E0E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235F0AA0">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3</w:t>
            </w:r>
          </w:p>
        </w:tc>
        <w:tc>
          <w:tcPr>
            <w:tcW w:w="2191" w:type="dxa"/>
            <w:noWrap w:val="0"/>
            <w:vAlign w:val="center"/>
          </w:tcPr>
          <w:p w14:paraId="4B4E63DE">
            <w:pPr>
              <w:spacing w:line="360" w:lineRule="auto"/>
              <w:jc w:val="center"/>
              <w:rPr>
                <w:rFonts w:hint="eastAsia" w:ascii="宋体" w:hAnsi="宋体" w:eastAsia="宋体" w:cs="@仿宋_GB2312"/>
                <w:bCs/>
                <w:kern w:val="0"/>
                <w:sz w:val="24"/>
                <w:szCs w:val="24"/>
                <w:highlight w:val="none"/>
                <w:lang w:eastAsia="zh-CN"/>
              </w:rPr>
            </w:pPr>
            <w:r>
              <w:rPr>
                <w:rFonts w:hint="eastAsia" w:ascii="宋体" w:hAnsi="宋体" w:cs="@仿宋_GB2312"/>
                <w:bCs/>
                <w:kern w:val="0"/>
                <w:sz w:val="24"/>
                <w:szCs w:val="24"/>
                <w:highlight w:val="none"/>
                <w:lang w:eastAsia="zh-CN"/>
              </w:rPr>
              <w:t>建设周期</w:t>
            </w:r>
          </w:p>
        </w:tc>
        <w:tc>
          <w:tcPr>
            <w:tcW w:w="5476" w:type="dxa"/>
            <w:noWrap w:val="0"/>
            <w:vAlign w:val="center"/>
          </w:tcPr>
          <w:p w14:paraId="29B90E9E">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r w14:paraId="2A7E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2CB7BBCD">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4</w:t>
            </w:r>
          </w:p>
        </w:tc>
        <w:tc>
          <w:tcPr>
            <w:tcW w:w="2191" w:type="dxa"/>
            <w:noWrap w:val="0"/>
            <w:vAlign w:val="center"/>
          </w:tcPr>
          <w:p w14:paraId="73B9C588">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eastAsia="zh-CN"/>
              </w:rPr>
              <w:t>免费维保期</w:t>
            </w:r>
            <w:r>
              <w:rPr>
                <w:rFonts w:hint="eastAsia" w:ascii="宋体" w:hAnsi="宋体" w:cs="@仿宋_GB2312"/>
                <w:bCs/>
                <w:kern w:val="0"/>
                <w:sz w:val="24"/>
                <w:szCs w:val="24"/>
                <w:highlight w:val="none"/>
              </w:rPr>
              <w:t>（如有）</w:t>
            </w:r>
          </w:p>
        </w:tc>
        <w:tc>
          <w:tcPr>
            <w:tcW w:w="5476" w:type="dxa"/>
            <w:noWrap w:val="0"/>
            <w:vAlign w:val="center"/>
          </w:tcPr>
          <w:p w14:paraId="3E638258">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bl>
    <w:p w14:paraId="59B06E87">
      <w:pPr>
        <w:spacing w:line="360" w:lineRule="auto"/>
        <w:ind w:firstLine="437"/>
        <w:jc w:val="both"/>
        <w:outlineLvl w:val="1"/>
        <w:rPr>
          <w:rFonts w:hint="eastAsia" w:ascii="宋体" w:hAnsi="宋体" w:cs="@仿宋_GB2312"/>
          <w:b/>
          <w:bCs/>
          <w:sz w:val="24"/>
          <w:szCs w:val="24"/>
          <w:highlight w:val="none"/>
        </w:rPr>
      </w:pPr>
    </w:p>
    <w:p w14:paraId="57CDEBD3">
      <w:pPr>
        <w:spacing w:line="360" w:lineRule="auto"/>
        <w:ind w:firstLine="437"/>
        <w:jc w:val="both"/>
        <w:outlineLvl w:val="1"/>
        <w:rPr>
          <w:rFonts w:hint="eastAsia" w:ascii="宋体" w:hAnsi="宋体" w:cs="@仿宋_GB2312"/>
          <w:b/>
          <w:bCs/>
          <w:sz w:val="24"/>
          <w:szCs w:val="24"/>
          <w:highlight w:val="none"/>
        </w:rPr>
      </w:pPr>
    </w:p>
    <w:p w14:paraId="54C93AE3">
      <w:pPr>
        <w:keepNext w:val="0"/>
        <w:keepLines w:val="0"/>
        <w:widowControl w:val="0"/>
        <w:numPr>
          <w:ilvl w:val="0"/>
          <w:numId w:val="0"/>
        </w:numPr>
        <w:suppressLineNumbers w:val="0"/>
        <w:autoSpaceDE w:val="0"/>
        <w:autoSpaceDN/>
        <w:spacing w:before="0" w:beforeAutospacing="0" w:after="0" w:afterAutospacing="0" w:line="360" w:lineRule="auto"/>
        <w:ind w:left="0" w:leftChars="0" w:right="0" w:rightChars="0" w:firstLine="0" w:firstLineChars="0"/>
        <w:jc w:val="left"/>
        <w:outlineLvl w:val="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一、</w:t>
      </w:r>
      <w:r>
        <w:rPr>
          <w:rFonts w:hint="eastAsia" w:ascii="宋体" w:hAnsi="宋体" w:eastAsia="宋体" w:cs="宋体"/>
          <w:b/>
          <w:bCs w:val="0"/>
          <w:kern w:val="2"/>
          <w:sz w:val="24"/>
          <w:szCs w:val="24"/>
          <w:highlight w:val="none"/>
          <w:lang w:val="en-US" w:eastAsia="zh-CN" w:bidi="ar"/>
        </w:rPr>
        <w:t>系统架构参数</w:t>
      </w:r>
    </w:p>
    <w:p w14:paraId="48A7A619">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本系统旨在通过集成和分析医院内的各种数据，围绕乳腺癌疾病构建对应的专病库体系，有效提升医疗服务质量和科研效率，整体架构分为3层，各层参数要求如下：</w:t>
      </w:r>
    </w:p>
    <w:p w14:paraId="2E793BEA">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1"/>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1.1 数据层</w:t>
      </w:r>
    </w:p>
    <w:p w14:paraId="1D266419">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构建肿瘤内科乳腺癌专病数据库，实现医院 HIS、LIS 等核心医疗数据的全面接入与集成，确保数据来源的完整性和实时性。 </w:t>
      </w:r>
    </w:p>
    <w:p w14:paraId="04BCC95C">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kern w:val="2"/>
          <w:sz w:val="24"/>
          <w:szCs w:val="24"/>
          <w:highlight w:val="none"/>
          <w:lang w:val="en-US" w:eastAsia="zh-CN" w:bidi="ar"/>
        </w:rPr>
        <w:t>支持多格式数据兼容，</w:t>
      </w:r>
      <w:r>
        <w:rPr>
          <w:rFonts w:hint="eastAsia" w:ascii="宋体" w:hAnsi="宋体" w:eastAsia="宋体" w:cs="宋体"/>
          <w:b w:val="0"/>
          <w:bCs w:val="0"/>
          <w:kern w:val="2"/>
          <w:sz w:val="24"/>
          <w:szCs w:val="24"/>
          <w:highlight w:val="none"/>
          <w:lang w:val="en-US" w:eastAsia="zh-CN" w:bidi="ar"/>
        </w:rPr>
        <w:t xml:space="preserve">可对接结构化、半结构化及非结构化数据，保障数据接入的通用性。 </w:t>
      </w:r>
    </w:p>
    <w:p w14:paraId="1FD64AF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lang w:val="en-US" w:eastAsia="zh-CN" w:bidi="ar"/>
        </w:rPr>
        <w:t xml:space="preserve">具备数据存储、清洗、转换、分析等核心能力，支撑大规模专病数据的高效处理。 </w:t>
      </w:r>
    </w:p>
    <w:p w14:paraId="003C792F">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lang w:val="en-US" w:eastAsia="zh-CN" w:bidi="ar"/>
        </w:rPr>
        <w:t xml:space="preserve">▲集成大语言模型、自然语言处理等人工智能技术，包含文本结构化、OCR 识别等功能，实现非结构化数据的智能化提取与处理。 </w:t>
      </w:r>
    </w:p>
    <w:p w14:paraId="15142045">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lang w:val="en-US" w:eastAsia="zh-CN" w:bidi="ar"/>
        </w:rPr>
        <w:t>技术架构需具备可扩展性，支持后续功能升级及数据量扩容，满足长期科研使用需求。</w:t>
      </w:r>
    </w:p>
    <w:p w14:paraId="55989C12">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1"/>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1.2 应用层</w:t>
      </w:r>
    </w:p>
    <w:p w14:paraId="6A61CA5F">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核心功能包含科研专病库、360视图、科研数据检索三大模块，全面支撑科研活动开展。</w:t>
      </w:r>
    </w:p>
    <w:p w14:paraId="65A36F4B">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各模块需实现数据互通，确保科研全流程数据无缝衔接，提升科研效率。</w:t>
      </w:r>
    </w:p>
    <w:p w14:paraId="70E8BF6F">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支持多机构或单机构专病数据的统一管理，适配不同科研场景需求。</w:t>
      </w:r>
    </w:p>
    <w:p w14:paraId="1B92EA87">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1"/>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1.3 门户层</w:t>
      </w:r>
    </w:p>
    <w:p w14:paraId="2C7B7687">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支持科研人员通过内网终端访问科研平台，实现随时随地的科研操作。</w:t>
      </w:r>
    </w:p>
    <w:p w14:paraId="09DEEC62">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门户界面需简洁易用，具备权限分级管理功能，确保科研数据的安全性和保密性。</w:t>
      </w:r>
    </w:p>
    <w:p w14:paraId="2ABD8844">
      <w:pPr>
        <w:pStyle w:val="3"/>
        <w:keepNext w:val="0"/>
        <w:keepLines w:val="0"/>
        <w:widowControl w:val="0"/>
        <w:suppressLineNumbers w:val="0"/>
        <w:autoSpaceDE w:val="0"/>
        <w:autoSpaceDN/>
        <w:spacing w:line="360" w:lineRule="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2324256B">
      <w:pPr>
        <w:keepNext w:val="0"/>
        <w:keepLines w:val="0"/>
        <w:widowControl w:val="0"/>
        <w:numPr>
          <w:ilvl w:val="0"/>
          <w:numId w:val="0"/>
        </w:numPr>
        <w:suppressLineNumbers w:val="0"/>
        <w:autoSpaceDE w:val="0"/>
        <w:autoSpaceDN/>
        <w:spacing w:before="0" w:beforeAutospacing="0" w:after="0" w:afterAutospacing="0" w:line="360" w:lineRule="auto"/>
        <w:ind w:left="0" w:leftChars="0" w:right="0" w:rightChars="0" w:firstLine="0" w:firstLineChars="0"/>
        <w:jc w:val="left"/>
        <w:outlineLvl w:val="0"/>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SA"/>
        </w:rPr>
        <w:t>二、</w:t>
      </w:r>
      <w:r>
        <w:rPr>
          <w:rFonts w:hint="eastAsia" w:ascii="宋体" w:hAnsi="宋体" w:eastAsia="宋体" w:cs="宋体"/>
          <w:b/>
          <w:bCs w:val="0"/>
          <w:kern w:val="2"/>
          <w:sz w:val="24"/>
          <w:szCs w:val="24"/>
          <w:highlight w:val="none"/>
          <w:lang w:val="en-US" w:eastAsia="zh-CN" w:bidi="ar"/>
        </w:rPr>
        <w:t>核心功能参数</w:t>
      </w:r>
    </w:p>
    <w:p w14:paraId="109BA6C5">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乳腺癌专病管理模块为临床研究提供智能化数据管理平台，实现从数据采集到科研应用的全链路管理，具体功能参数如下：</w:t>
      </w:r>
    </w:p>
    <w:p w14:paraId="32986B93">
      <w:pPr>
        <w:keepNext w:val="0"/>
        <w:keepLines w:val="0"/>
        <w:widowControl w:val="0"/>
        <w:suppressLineNumbers w:val="0"/>
        <w:autoSpaceDE w:val="0"/>
        <w:autoSpaceDN/>
        <w:spacing w:before="0" w:beforeAutospacing="0" w:after="0" w:afterAutospacing="0" w:line="360" w:lineRule="auto"/>
        <w:ind w:left="0" w:right="0"/>
        <w:jc w:val="left"/>
        <w:outlineLvl w:val="1"/>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2.1 新建乳腺癌专病库</w:t>
      </w:r>
    </w:p>
    <w:p w14:paraId="03F28FE8">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支持按乳腺癌专病构建专属专病库，适配乳腺癌科研的个性化需求。</w:t>
      </w:r>
    </w:p>
    <w:p w14:paraId="46300066">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kern w:val="2"/>
          <w:sz w:val="24"/>
          <w:szCs w:val="24"/>
          <w:highlight w:val="none"/>
          <w:lang w:val="en-US" w:eastAsia="zh-CN" w:bidi="ar"/>
        </w:rPr>
        <w:t>支持自定义专病库基本信息（如名称、图标等）、入组条件（就诊类型、入库条件</w:t>
      </w:r>
      <w:r>
        <w:rPr>
          <w:rFonts w:hint="eastAsia" w:ascii="宋体" w:hAnsi="宋体" w:eastAsia="宋体" w:cs="宋体"/>
          <w:b w:val="0"/>
          <w:bCs w:val="0"/>
          <w:kern w:val="2"/>
          <w:sz w:val="24"/>
          <w:szCs w:val="24"/>
          <w:highlight w:val="none"/>
          <w:lang w:val="en-US" w:eastAsia="zh-CN" w:bidi="ar"/>
        </w:rPr>
        <w:t>），可选择专病库创建模型，提升创建灵活性。</w:t>
      </w:r>
    </w:p>
    <w:p w14:paraId="1E0BAAD9">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lang w:val="en-US" w:eastAsia="zh-CN" w:bidi="ar"/>
        </w:rPr>
        <w:t>支持根据已输入的专病库名称，通过大模型理解自动生成对应图标，无需手动上传。</w:t>
      </w:r>
    </w:p>
    <w:p w14:paraId="5DAD1258">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lang w:val="en-US" w:eastAsia="zh-CN" w:bidi="ar"/>
        </w:rPr>
        <w:t>入组条件设置支持两种方式：一是直接选择大数据检索中已收藏的条件，并可基于该条件进行调整；二是直接手动设置入组条件。</w:t>
      </w:r>
    </w:p>
    <w:p w14:paraId="53059358">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lang w:val="en-US" w:eastAsia="zh-CN" w:bidi="ar"/>
        </w:rPr>
        <w:t>▲支持通过语音录入方式设置入组条件，可将语音录入的自然语言自动拆解为规范化的检索条件，医生只需要提供临床描述即可，提升操作效率。</w:t>
      </w:r>
    </w:p>
    <w:p w14:paraId="220D458D">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b w:val="0"/>
          <w:bCs w:val="0"/>
          <w:kern w:val="2"/>
          <w:sz w:val="24"/>
          <w:szCs w:val="24"/>
          <w:highlight w:val="none"/>
          <w:lang w:val="en-US" w:eastAsia="zh-CN" w:bidi="ar"/>
        </w:rPr>
        <w:t>支持基于设置的入库条件，预览</w:t>
      </w:r>
      <w:r>
        <w:rPr>
          <w:rFonts w:hint="eastAsia" w:ascii="宋体" w:hAnsi="宋体" w:eastAsia="宋体" w:cs="宋体"/>
          <w:kern w:val="2"/>
          <w:sz w:val="24"/>
          <w:szCs w:val="24"/>
          <w:highlight w:val="none"/>
          <w:lang w:val="en-US" w:eastAsia="zh-CN" w:bidi="ar"/>
        </w:rPr>
        <w:t>符合条件的样本数据，并可查看样本对应的360度全维度信息，便于提前核验入组合理性。</w:t>
      </w:r>
    </w:p>
    <w:p w14:paraId="5A3BE872">
      <w:pPr>
        <w:keepNext w:val="0"/>
        <w:keepLines w:val="0"/>
        <w:widowControl w:val="0"/>
        <w:suppressLineNumbers w:val="0"/>
        <w:autoSpaceDE w:val="0"/>
        <w:autoSpaceDN/>
        <w:spacing w:before="0" w:beforeAutospacing="0" w:after="0" w:afterAutospacing="0" w:line="360" w:lineRule="auto"/>
        <w:ind w:left="0" w:right="0"/>
        <w:jc w:val="left"/>
        <w:outlineLvl w:val="1"/>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2.2 乳腺癌专病指标设计</w:t>
      </w:r>
    </w:p>
    <w:p w14:paraId="7B503AE0">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可结合乳腺癌专病的研究方向和目标，通过医院数据资源盘点，辅助科研工作者在系统内建立标准化的科研指标体系。</w:t>
      </w:r>
    </w:p>
    <w:p w14:paraId="17741D67">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指标设计需贴合乳腺癌临床科研需求，覆盖疾病全程关键信息，为病因分析、治疗方案优化等提供数据支撑。</w:t>
      </w:r>
    </w:p>
    <w:p w14:paraId="1258F3F2">
      <w:pPr>
        <w:keepNext w:val="0"/>
        <w:keepLines w:val="0"/>
        <w:widowControl w:val="0"/>
        <w:suppressLineNumbers w:val="0"/>
        <w:autoSpaceDE w:val="0"/>
        <w:autoSpaceDN/>
        <w:spacing w:before="0" w:beforeAutospacing="0" w:after="0" w:afterAutospacing="0" w:line="360" w:lineRule="auto"/>
        <w:ind w:left="0" w:leftChars="0" w:right="0" w:firstLine="0" w:firstLineChars="0"/>
        <w:jc w:val="left"/>
        <w:outlineLvl w:val="1"/>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2.3 样本/指标管理</w:t>
      </w:r>
    </w:p>
    <w:p w14:paraId="05668F1F">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▲提供样本维度和指标维度双维度数据展示功能，支持用户灵活切换查看专病库详情，满足不同科研查看需求。</w:t>
      </w:r>
    </w:p>
    <w:p w14:paraId="2BA31085">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支持CRF录入、标记、删除等操作，实现样本和指标的精细化管理。</w:t>
      </w:r>
    </w:p>
    <w:p w14:paraId="23C09BA7">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采用双维度可视化交互设计，既满足科研人员对个体样本的精细化管理需求，又能提供全面的指标统计分析视角。</w:t>
      </w:r>
    </w:p>
    <w:p w14:paraId="75DDCE2E">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需纳入乳腺癌疾病全程关键指标，具体指标示例如下（均需支持数据录入、存储、统计及分析）：</w:t>
      </w:r>
    </w:p>
    <w:p w14:paraId="30DA58D6">
      <w:pPr>
        <w:keepNext w:val="0"/>
        <w:keepLines w:val="0"/>
        <w:widowControl w:val="0"/>
        <w:suppressLineNumbers w:val="0"/>
        <w:autoSpaceDE w:val="0"/>
        <w:autoSpaceDN/>
        <w:spacing w:before="0" w:beforeAutospacing="0" w:after="0" w:afterAutospacing="0" w:line="360" w:lineRule="auto"/>
        <w:ind w:left="0" w:right="0"/>
        <w:jc w:val="left"/>
        <w:outlineLvl w:val="2"/>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2.3.1 基本信息指标</w:t>
      </w:r>
    </w:p>
    <w:p w14:paraId="10E791CF">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用于人口学特征分析、危险因素关联研究，需包含以下指标：</w:t>
      </w:r>
    </w:p>
    <w:p w14:paraId="6097A5C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人口学特征：姓名、唯一识别号（如病历号）、性别（女性为主，男性需特殊标注）、出生日期、发病年龄、确诊年龄、民族、籍贯、居住地（城市/农村）、联系方式。</w:t>
      </w:r>
    </w:p>
    <w:p w14:paraId="683F222D">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社会经济学特征：教育程度、职业、婚姻状况（未婚/已婚/离异/丧偶）、家庭月收入。</w:t>
      </w:r>
    </w:p>
    <w:p w14:paraId="17BFA547">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体质特征：身高、体重、BMI（身体质量指数）、月经史（初潮年龄、绝经年龄、是否绝经及绝经方式）、生育史（首次生育年龄、生育次数、是否母乳喂养及时长）。</w:t>
      </w:r>
    </w:p>
    <w:p w14:paraId="54213AC6">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家族史：一级亲属（母亲、姐妹、女儿）及二级亲属乳腺癌/卵巢癌发病情况（发病年龄、是否确诊）、其他恶性肿瘤家族史。</w:t>
      </w:r>
    </w:p>
    <w:p w14:paraId="564E11C2">
      <w:pPr>
        <w:keepNext w:val="0"/>
        <w:keepLines w:val="0"/>
        <w:widowControl w:val="0"/>
        <w:suppressLineNumbers w:val="0"/>
        <w:autoSpaceDE w:val="0"/>
        <w:autoSpaceDN/>
        <w:spacing w:before="0" w:beforeAutospacing="0" w:after="0" w:afterAutospacing="0" w:line="360" w:lineRule="auto"/>
        <w:ind w:left="0" w:right="0"/>
        <w:jc w:val="left"/>
        <w:outlineLvl w:val="2"/>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2.3.2 病史信息指标</w:t>
      </w:r>
    </w:p>
    <w:p w14:paraId="767E86A6">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用于分析疾病诱因、病程进展及合并症对治疗的影响，需包含以下指标：</w:t>
      </w:r>
    </w:p>
    <w:p w14:paraId="393193C0">
      <w:pPr>
        <w:keepNext w:val="0"/>
        <w:keepLines w:val="0"/>
        <w:widowControl w:val="0"/>
        <w:suppressLineNumbers w:val="0"/>
        <w:autoSpaceDE w:val="0"/>
        <w:autoSpaceDN/>
        <w:spacing w:before="0" w:beforeAutospacing="0" w:after="0" w:afterAutospacing="0" w:line="360" w:lineRule="auto"/>
        <w:ind w:left="0" w:right="0" w:firstLine="500" w:firstLineChars="0"/>
        <w:jc w:val="left"/>
        <w:outlineLvl w:val="3"/>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（1）既往病史</w:t>
      </w:r>
    </w:p>
    <w:p w14:paraId="0F60C4FB">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既往重大疾病史：高血压、糖尿病、冠心病等慢性病史（确诊时间、治疗情况）；既往恶性肿瘤史（类型、治疗史）。</w:t>
      </w:r>
    </w:p>
    <w:p w14:paraId="53A9AAFB">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特殊暴露史：是否接受过胸部放疗（如霍奇金淋巴瘤放疗）、长期服用激素类药物（如避孕药、雌激素替代治疗）。</w:t>
      </w:r>
    </w:p>
    <w:p w14:paraId="43068371">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3"/>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（2）现病史</w:t>
      </w:r>
    </w:p>
    <w:p w14:paraId="41D1518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发病情况：首次发现症状时间、症状描述（如乳房肿块、乳头溢液、皮肤改变）、症状持续时间。</w:t>
      </w:r>
    </w:p>
    <w:p w14:paraId="713C59E8">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确诊过程：首次就诊时间、就诊医院、初步诊断结果、最终确诊时间及依据（病理诊断）。</w:t>
      </w:r>
    </w:p>
    <w:p w14:paraId="4523EFB7">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疾病进展：确诊时是否存在症状加重、转移相关症状（如骨痛、咳嗽、头痛）。</w:t>
      </w:r>
    </w:p>
    <w:p w14:paraId="5EA51C0C">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2"/>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2.3.3 检查信息指标</w:t>
      </w:r>
    </w:p>
    <w:p w14:paraId="7D05C439">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用于疾病诊断、分期及治疗方案制定，需包含以下指标：</w:t>
      </w:r>
    </w:p>
    <w:p w14:paraId="52E93FE9">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3"/>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（1）体格检查</w:t>
      </w:r>
    </w:p>
    <w:p w14:paraId="4DF72A67">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乳腺检查：肿块位置（左/右乳、象限）、大小（触诊直径）、质地、活动度、边界、有无压痛；乳头有无内陷、溢液（性质、颜色）；皮肤有无橘皮样改变、酒窝征、溃疡。</w:t>
      </w:r>
    </w:p>
    <w:p w14:paraId="2CF99F3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腋窝及锁骨上淋巴结：有无肿大、大小、数量、质地、活动度、是否融合。</w:t>
      </w:r>
    </w:p>
    <w:p w14:paraId="3C69A1B1">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3"/>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（2）影像学检查</w:t>
      </w:r>
    </w:p>
    <w:p w14:paraId="249BF4BF">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乳腺超声：检查时间、双侧乳腺及腋窝淋巴结情况（肿块大小、形态、边界、血流信号、BI-RADS分级）。</w:t>
      </w:r>
    </w:p>
    <w:p w14:paraId="26A8D441">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乳腺钼靶X线：检查时间、双侧乳腺表现（肿块、钙化、结构扭曲、BI-RADS分级）。</w:t>
      </w:r>
    </w:p>
    <w:p w14:paraId="4044857C">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乳腺MRI：检查时间、病灶强化特征、范围、腋窝淋巴结情况（用于评估病变范围或保乳手术前评估）。</w:t>
      </w:r>
    </w:p>
    <w:p w14:paraId="1E001D1E">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全身影像学评估（用于分期）：胸部CT（有无肺转移）、腹部超声/CT（有无肝/肾上腺转移）、骨扫描（有无骨转移）、PET-CT（全身转移评估，尤其晚期患者）。</w:t>
      </w:r>
    </w:p>
    <w:p w14:paraId="67930F00">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2"/>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2.3.4 病理及分子生物学信息指标</w:t>
      </w:r>
    </w:p>
    <w:p w14:paraId="6F03F18D">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作为乳腺癌诊断“金标准”，决定治疗策略，需包含以下指标：</w:t>
      </w:r>
    </w:p>
    <w:p w14:paraId="0D63AA90">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3"/>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（1）病理诊断基本信息</w:t>
      </w:r>
    </w:p>
    <w:p w14:paraId="30695205">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标本类型：穿刺活检、手术切除标本（保乳/全切）、转移灶标本。送检医院、病理编号、诊断日期。</w:t>
      </w:r>
    </w:p>
    <w:p w14:paraId="530A4528">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3"/>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（2）肿瘤病理特征</w:t>
      </w:r>
    </w:p>
    <w:p w14:paraId="46DFEE85">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组织学类型：浸润性导管癌、浸润性小叶癌、导管内癌、三阴性乳腺癌等。</w:t>
      </w:r>
    </w:p>
    <w:p w14:paraId="33228375">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组织学分级（WHO分级）：Ⅰ级（高分化）、Ⅱ级（中分化）、Ⅲ级（低分化）。</w:t>
      </w:r>
    </w:p>
    <w:p w14:paraId="5ECA95AE">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肿瘤大小（T分期依据）：最大径（以病理测量为准，单位cm）。</w:t>
      </w:r>
    </w:p>
    <w:p w14:paraId="54375DD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脉管侵犯：有无（血管/淋巴管侵犯）。</w:t>
      </w:r>
    </w:p>
    <w:p w14:paraId="24A24415">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神经侵犯：有无。</w:t>
      </w:r>
    </w:p>
    <w:p w14:paraId="11292041">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3"/>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（3）淋巴结情况</w:t>
      </w:r>
    </w:p>
    <w:p w14:paraId="12C80ECA">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腋窝淋巴结：送检数目、阳性数目、转移灶大小、是否有包膜外侵犯。</w:t>
      </w:r>
    </w:p>
    <w:p w14:paraId="3E9754A2">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前哨淋巴结：是否活检、阳性数目。</w:t>
      </w:r>
    </w:p>
    <w:p w14:paraId="6578E94B">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其他部位淋巴结（如锁骨上、内乳）：有无转移。</w:t>
      </w:r>
    </w:p>
    <w:p w14:paraId="7EA3CA7C">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3"/>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（4）分子标志物检测</w:t>
      </w:r>
    </w:p>
    <w:p w14:paraId="5A01B53A">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激素受体：ER（雌激素受体）、PR（孕激素受体）表达情况（阳性率%、染色强度）、是否阳性（阳性定义：≥1%肿瘤细胞染色）。</w:t>
      </w:r>
    </w:p>
    <w:p w14:paraId="7E550CA5">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HER2（人表皮生长因子受体2）：免疫组化（IHC）结果（0/1+/2+/3+）；若IHC 2+，需支持FISH检测结果（是否扩增）录入。</w:t>
      </w:r>
    </w:p>
    <w:p w14:paraId="580460D8">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Ki-67指数：增殖活性（阳性细胞比例%）。</w:t>
      </w:r>
    </w:p>
    <w:p w14:paraId="4B11469E">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分子分型：根据ER、PR、HER2、Ki-67分为Luminal A型、Luminal B型、HER2阳性型、三阴性型。</w:t>
      </w:r>
    </w:p>
    <w:p w14:paraId="1FDDF453">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其他：BRCA1/2基因突变、PIK3CA突变等（支持自定义新增检测指标）。</w:t>
      </w:r>
    </w:p>
    <w:p w14:paraId="64E91D96">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2"/>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2.3.5 手术信息指标</w:t>
      </w:r>
    </w:p>
    <w:p w14:paraId="13895265">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用于分析不同术式的疗效、并发症及适应症，需包含以下指标：</w:t>
      </w:r>
    </w:p>
    <w:p w14:paraId="489C1BE8">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手术日期、手术类型：保乳手术、乳腺癌改良根治术、全乳切除术、腋窝淋巴结清扫术、前哨淋巴结活检术等（支持自定义术式）。</w:t>
      </w:r>
    </w:p>
    <w:p w14:paraId="303069AA">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手术医生、手术医院。</w:t>
      </w:r>
    </w:p>
    <w:p w14:paraId="7907581E">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术中情况：是否行即刻乳房重建（假体/自体组织）、术中出血量、手术时长。</w:t>
      </w:r>
    </w:p>
    <w:p w14:paraId="209302BF">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术后病理与术前对比：肿瘤大小、淋巴结状态是否一致。</w:t>
      </w:r>
    </w:p>
    <w:p w14:paraId="70DF0800">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手术并发症：术中/术后出血、皮下积液、皮瓣坏死、感染、上肢水肿等（发生时间、处理方式）。</w:t>
      </w:r>
    </w:p>
    <w:p w14:paraId="751FA907">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2"/>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2.3.6 辅助治疗信息指标</w:t>
      </w:r>
    </w:p>
    <w:p w14:paraId="06422A7A">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用于评估综合治疗方案的有效性与安全性，需包含放疗、化疗、靶向治疗、内分泌治疗等指标：</w:t>
      </w:r>
    </w:p>
    <w:p w14:paraId="24BB0746">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3"/>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（1）放疗</w:t>
      </w:r>
    </w:p>
    <w:p w14:paraId="7F71C3E6">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放疗开始/结束时间、放疗类型（术后辅助放疗、术前新辅助放疗、姑息性放疗）。</w:t>
      </w:r>
    </w:p>
    <w:p w14:paraId="66FB16D1">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放疗部位（胸壁、腋窝、锁骨上区等）、总剂量、分次剂量、放疗技术（如三维适形、调强放疗）。</w:t>
      </w:r>
    </w:p>
    <w:p w14:paraId="57936B79">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放疗并发症：放射性皮炎、肺炎、心脏损伤等（发生时间、严重程度）。</w:t>
      </w:r>
    </w:p>
    <w:p w14:paraId="7CB25C2C">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3"/>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（2）化疗</w:t>
      </w:r>
    </w:p>
    <w:p w14:paraId="13FF7E29">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化疗开始/结束时间、化疗目的（新辅助、辅助、姑息）。</w:t>
      </w:r>
    </w:p>
    <w:p w14:paraId="48F8D4DF">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化疗方案：具体药物（如蒽环类、紫杉类、环磷酰胺等）、剂量、疗程、给药途径（静脉/口服）。</w:t>
      </w:r>
    </w:p>
    <w:p w14:paraId="1C9A0FE8">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疗效评价：新辅助化疗后肿瘤退缩情况（如RECIST标准）。</w:t>
      </w:r>
    </w:p>
    <w:p w14:paraId="2AA249AF">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不良反应：恶心呕吐、骨髓抑制（白细胞/血小板降低程度）、脱发、心脏毒性等（分级、处理措施）。</w:t>
      </w:r>
    </w:p>
    <w:p w14:paraId="461278DF">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3"/>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（3）靶向治疗</w:t>
      </w:r>
    </w:p>
    <w:p w14:paraId="5524D693">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治疗开始/结束时间、药物名称（如曲妥珠单抗、帕妥珠单抗、T-DM1等）。</w:t>
      </w:r>
    </w:p>
    <w:p w14:paraId="5965BB85">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剂量、疗程、给药途径。</w:t>
      </w:r>
    </w:p>
    <w:p w14:paraId="0D89AF5F">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不良反应：心脏毒性（左室射血分数监测）、输液反应等。</w:t>
      </w:r>
    </w:p>
    <w:p w14:paraId="74F400AC">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3"/>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（4）内分泌治疗</w:t>
      </w:r>
    </w:p>
    <w:p w14:paraId="066B315C">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治疗开始时间、药物类型（如他莫昔芬、芳香化酶抑制剂、卵巢功能抑制剂等）。</w:t>
      </w:r>
    </w:p>
    <w:p w14:paraId="586A139B">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剂量、用药时长、是否因不良反应停药。</w:t>
      </w:r>
    </w:p>
    <w:p w14:paraId="40F2C5C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不良反应：潮热、骨质疏松、血栓风险等。</w:t>
      </w:r>
    </w:p>
    <w:p w14:paraId="1BD72F18">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2"/>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2.3.7 用药信息指标</w:t>
      </w:r>
    </w:p>
    <w:p w14:paraId="3ED17E5A">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抗肿瘤药物：同“辅助治疗信息”中的具体药物、剂量、频次、疗程。</w:t>
      </w:r>
    </w:p>
    <w:p w14:paraId="0DC69EFC">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合并症治疗药物：如降压药、降糖药、止痛药等（名称、剂量、使用时长）。</w:t>
      </w:r>
    </w:p>
    <w:p w14:paraId="00CB85A0">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不良反应处理药物：如止吐药、升白药、护心药等（名称、剂量、使用时长）。</w:t>
      </w:r>
    </w:p>
    <w:p w14:paraId="1FF87582">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2"/>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2.3.8 生活质量及心理社会信息指标</w:t>
      </w:r>
    </w:p>
    <w:p w14:paraId="3E60BA03">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生活质量评分：支持标准化量表（如EORTC QLQ-C30、QLQ-BR23）录入与统计，评估躯体功能、角色功能、情绪功能、疼痛、睡眠等。</w:t>
      </w:r>
    </w:p>
    <w:p w14:paraId="08E377F0">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心理状态：支持焦虑、抑郁评分（如PHQ-9、GAD-7量表）录入与分析。</w:t>
      </w:r>
    </w:p>
    <w:p w14:paraId="23FF5A43">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社会支持：家庭照顾情况、医保类型（职工医保/居民医保/商业保险）、经济负担程度。</w:t>
      </w:r>
    </w:p>
    <w:p w14:paraId="6E1727E7">
      <w:pPr>
        <w:keepNext w:val="0"/>
        <w:keepLines w:val="0"/>
        <w:widowControl w:val="0"/>
        <w:suppressLineNumbers w:val="0"/>
        <w:autoSpaceDE w:val="0"/>
        <w:autoSpaceDN/>
        <w:spacing w:before="0" w:beforeAutospacing="0" w:after="0" w:afterAutospacing="0" w:line="360" w:lineRule="auto"/>
        <w:ind w:left="0" w:right="0" w:firstLine="482" w:firstLineChars="200"/>
        <w:jc w:val="left"/>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2.3.9 信息提取可定制性</w:t>
      </w:r>
    </w:p>
    <w:p w14:paraId="43144357">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lang w:val="en-US" w:eastAsia="zh-CN" w:bidi="ar"/>
        </w:rPr>
        <w:t xml:space="preserve">用户可根据实际需求, 定制需要采集的指标信息关键词, 系统可通过人工智能模型从专病数据库中提取整合形成结构化的数据指标。 </w:t>
      </w:r>
    </w:p>
    <w:p w14:paraId="141DADDB">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1"/>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2.4 乳腺癌专病科研深度治理</w:t>
      </w:r>
    </w:p>
    <w:p w14:paraId="7B545BCC">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能够针对乳腺癌专病指标标准，自动识别不同的数据来源，实现多源数据的统一汇聚。</w:t>
      </w:r>
    </w:p>
    <w:p w14:paraId="510C420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集成文本结构化、OCR技术、语音识别等人工智能技术，结合专科病历模板化等信息化手段，实现乳腺癌专病数据库指标的自动获取与提取。</w:t>
      </w:r>
    </w:p>
    <w:p w14:paraId="31474803">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支持将治理指标处理方法沉淀在平台系统内，便于新增专病库可视化复用，提升科研产出效率。</w:t>
      </w:r>
    </w:p>
    <w:p w14:paraId="04336B03">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具备数据清洗、去重、标准化处理功能，确保科研数据的准确性和规范性。</w:t>
      </w:r>
    </w:p>
    <w:p w14:paraId="59F5BCCF">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1"/>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2.5 科研数据溯源</w:t>
      </w:r>
    </w:p>
    <w:p w14:paraId="5EA4C32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kern w:val="2"/>
          <w:sz w:val="24"/>
          <w:szCs w:val="24"/>
          <w:highlight w:val="none"/>
          <w:lang w:val="en-US" w:eastAsia="zh-CN" w:bidi="ar"/>
        </w:rPr>
        <w:t>科研指标溯源模块实现乳腺癌专病库内科研指标的全链路追踪，用户点击对应的科研指标值即可定位到原始病历文书、检查报告、检验报告等具体来源文书，同时支持在溯源界面集成展示患者全维度临床资料，如检验、检查、病历、医嘱、手术等诊疗数据，形成完整的医疗证据链。该功能通过解析非结构化病历数据并建立对应溯</w:t>
      </w:r>
      <w:r>
        <w:rPr>
          <w:rFonts w:hint="eastAsia" w:ascii="宋体" w:hAnsi="宋体" w:eastAsia="宋体" w:cs="宋体"/>
          <w:b w:val="0"/>
          <w:bCs w:val="0"/>
          <w:kern w:val="2"/>
          <w:sz w:val="24"/>
          <w:szCs w:val="24"/>
          <w:highlight w:val="none"/>
          <w:lang w:val="en-US" w:eastAsia="zh-CN" w:bidi="ar"/>
        </w:rPr>
        <w:t>源映射关系，为科研数据的真实性提供保障，确保科研指标与临床实际数据的双向可验证性。</w:t>
      </w:r>
    </w:p>
    <w:p w14:paraId="265E648A">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lang w:val="en-US" w:eastAsia="zh-CN" w:bidi="ar"/>
        </w:rPr>
        <w:t>核心功能包括：</w:t>
      </w:r>
    </w:p>
    <w:p w14:paraId="42F9291C">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lang w:val="en-US" w:eastAsia="zh-CN" w:bidi="ar"/>
        </w:rPr>
        <w:t>▲支持对乳腺癌专病库内的科研指标来源进行追溯，通过点击对应的科研指标值，可以直接定位到该指标来源的原始医疗文书（如病理报告病理结论、检查报告检查结论、入院记录既往史，</w:t>
      </w:r>
      <w:r>
        <w:rPr>
          <w:rFonts w:hint="eastAsia" w:ascii="宋体" w:hAnsi="宋体" w:cs="宋体"/>
          <w:b/>
          <w:bCs/>
          <w:kern w:val="2"/>
          <w:sz w:val="24"/>
          <w:szCs w:val="24"/>
          <w:highlight w:val="none"/>
          <w:lang w:val="en-US" w:eastAsia="zh-CN" w:bidi="ar"/>
        </w:rPr>
        <w:t>响应文件中</w:t>
      </w:r>
      <w:r>
        <w:rPr>
          <w:rFonts w:hint="eastAsia" w:ascii="宋体" w:hAnsi="宋体" w:eastAsia="宋体" w:cs="宋体"/>
          <w:b/>
          <w:bCs/>
          <w:kern w:val="2"/>
          <w:sz w:val="24"/>
          <w:szCs w:val="24"/>
          <w:highlight w:val="none"/>
          <w:lang w:val="en-US" w:eastAsia="zh-CN" w:bidi="ar"/>
        </w:rPr>
        <w:t>提供功能截图</w:t>
      </w:r>
      <w:r>
        <w:rPr>
          <w:rFonts w:hint="eastAsia" w:ascii="宋体" w:hAnsi="宋体" w:eastAsia="宋体" w:cs="宋体"/>
          <w:b w:val="0"/>
          <w:bCs w:val="0"/>
          <w:kern w:val="2"/>
          <w:sz w:val="24"/>
          <w:szCs w:val="24"/>
          <w:highlight w:val="none"/>
          <w:lang w:val="en-US" w:eastAsia="zh-CN" w:bidi="ar"/>
        </w:rPr>
        <w:t>）。</w:t>
      </w:r>
    </w:p>
    <w:p w14:paraId="009A33DA">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lang w:val="en-US" w:eastAsia="zh-CN" w:bidi="ar"/>
        </w:rPr>
        <w:t>支持在溯源场景下对患者的患者 360 视图进行查看。</w:t>
      </w:r>
    </w:p>
    <w:p w14:paraId="335C7711">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lang w:val="en-US" w:eastAsia="zh-CN" w:bidi="ar"/>
        </w:rPr>
        <w:t>支持在溯源场景下对患者的患者 360 视图进行维度切换，包括临床资料维度及诊疗时间维度。</w:t>
      </w:r>
    </w:p>
    <w:p w14:paraId="6FC12AA5">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lang w:val="en-US" w:eastAsia="zh-CN" w:bidi="ar"/>
        </w:rPr>
        <w:t>▲支持在溯源场景下查看的临床资料维度至少包括：检验报告、检查报告、病历报告、住院医嘱、门诊处方、临床诊断、体征记录、病案首页、治疗记录、手麻记录、输血记录等，形成完整医疗证据链（</w:t>
      </w:r>
      <w:r>
        <w:rPr>
          <w:rFonts w:hint="eastAsia" w:ascii="宋体" w:hAnsi="宋体" w:cs="宋体"/>
          <w:b/>
          <w:bCs/>
          <w:kern w:val="2"/>
          <w:sz w:val="24"/>
          <w:szCs w:val="24"/>
          <w:highlight w:val="none"/>
          <w:lang w:val="en-US" w:eastAsia="zh-CN" w:bidi="ar"/>
        </w:rPr>
        <w:t>响应文件中</w:t>
      </w:r>
      <w:r>
        <w:rPr>
          <w:rFonts w:hint="eastAsia" w:ascii="宋体" w:hAnsi="宋体" w:eastAsia="宋体" w:cs="宋体"/>
          <w:b/>
          <w:bCs/>
          <w:kern w:val="2"/>
          <w:sz w:val="24"/>
          <w:szCs w:val="24"/>
          <w:highlight w:val="none"/>
          <w:lang w:val="en-US" w:eastAsia="zh-CN" w:bidi="ar"/>
        </w:rPr>
        <w:t>提供功能截图</w:t>
      </w:r>
      <w:r>
        <w:rPr>
          <w:rFonts w:hint="eastAsia" w:ascii="宋体" w:hAnsi="宋体" w:eastAsia="宋体" w:cs="宋体"/>
          <w:b w:val="0"/>
          <w:bCs w:val="0"/>
          <w:kern w:val="2"/>
          <w:sz w:val="24"/>
          <w:szCs w:val="24"/>
          <w:highlight w:val="none"/>
          <w:lang w:val="en-US" w:eastAsia="zh-CN" w:bidi="ar"/>
        </w:rPr>
        <w:t>）。</w:t>
      </w:r>
    </w:p>
    <w:p w14:paraId="6B995031">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支持对溯源涉及的相关的诊疗资料进行圈定及常亮显示。</w:t>
      </w:r>
    </w:p>
    <w:p w14:paraId="7A6184D2">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支持对专病队列中的科研指标来源进行定位追溯。</w:t>
      </w:r>
    </w:p>
    <w:p w14:paraId="7CD192E3">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1"/>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2.6 队列管理</w:t>
      </w:r>
    </w:p>
    <w:p w14:paraId="0DA9AF16">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专病队列管理提供便捷的专病队列构建与管理功能，支持科研人员在乳腺癌专病库基础上灵活创建多维度队列。科研人员能够自定义队列基本信息、入列条件等，并基于队列样本进行导出、删除、录入等操作，实现从肿瘤专病库到专病队列的一站式管理工具。</w:t>
      </w:r>
    </w:p>
    <w:p w14:paraId="405CC529">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支持在乳腺癌专病库数据基础之上设置新增不同的专病队列。</w:t>
      </w:r>
    </w:p>
    <w:p w14:paraId="36D4E79F">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支持新增专病队列时自定义队列的基本信息（名称、描述）、入列条件。</w:t>
      </w:r>
    </w:p>
    <w:p w14:paraId="58F270DC">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支持在设置入列条件时，选择已收藏的入列条件，并可基于选择的条件进行重新编辑。</w:t>
      </w:r>
    </w:p>
    <w:p w14:paraId="61FABB5C">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支持设置入列条件时，能够设置单组或多组条件，组内可以设置多个条件，满足不同入列规则的设置。</w:t>
      </w:r>
    </w:p>
    <w:p w14:paraId="14BC6AB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支持对设置的入列条件进行收藏、取消收藏等操作。</w:t>
      </w:r>
    </w:p>
    <w:p w14:paraId="154E570A">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支持对已创建的专病队列以卡片形式进行展示，卡片详情包括队列名称、入列条件、样本数、创建时间、创建人等。</w:t>
      </w:r>
    </w:p>
    <w:p w14:paraId="1125124A">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支持对创建的队列样本进行查看、删除、导出、CRF 录入、收藏、显示列设置等操作。查看详情包括队列样本总数、样本指标提取情况、审核情况等。</w:t>
      </w:r>
    </w:p>
    <w:p w14:paraId="637E2043">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支持对队列进行样本维度及卡片维度切换。</w:t>
      </w:r>
    </w:p>
    <w:p w14:paraId="37926516">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支持对队列样本进行来源、偏好、检索条件等方式进行筛选或查找。</w:t>
      </w:r>
    </w:p>
    <w:p w14:paraId="429640E1">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支持对队列进行基础设置调整，包括基本信息和入列条件，若调整入列条件，则该队列样本支持自动更新。</w:t>
      </w:r>
    </w:p>
    <w:p w14:paraId="76D36FAE">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1"/>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2.7 任务管理</w:t>
      </w:r>
    </w:p>
    <w:p w14:paraId="617B129A">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任务管理提供全流程的科研样本审核管理功能，科研工作者能够根据需求进行专病样本的自由分配及审核，并能够进行审核样本详情的 360 视图查看。通过双视角模式：乳腺癌专病库所属者可全局监控任务分配状态，任务接收者则可查看个人待审样本并进行审核操作，实现从任务分配到质量管控的闭环管理。</w:t>
      </w:r>
    </w:p>
    <w:p w14:paraId="115946E8">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支持乳腺癌专病库所属者能够进行该专病库管理任务的创建及分配。</w:t>
      </w:r>
    </w:p>
    <w:p w14:paraId="60846226">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支持对乳腺癌专病库整体分配情况进行查看，包括总样本量、待分配样本量、已分配样本量、审核员人数、已分配百分比、已审核样本数、未审核样本数等。</w:t>
      </w:r>
    </w:p>
    <w:p w14:paraId="55CEFB8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支持分配乳腺癌专病库任务时能够自由选择审核员、分配方式、分配量等。</w:t>
      </w:r>
    </w:p>
    <w:p w14:paraId="14622ECA">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支持分配方式包括手动分配和自动分配，支持默认选择自动分配。</w:t>
      </w:r>
    </w:p>
    <w:p w14:paraId="60481485">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支持在分配任务时对分配样本详情进行查看。</w:t>
      </w:r>
    </w:p>
    <w:p w14:paraId="7ECCECB2">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支持分配任务后，专病库所属者能够对专病库整体任务分配情况进行查看，包括分配的审核员、分配时间、审核完成情况及任务状态等。</w:t>
      </w:r>
    </w:p>
    <w:p w14:paraId="533242EF">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支持对每个审核员的分配样本列表进行查看及终止任务操作。</w:t>
      </w:r>
    </w:p>
    <w:p w14:paraId="40428512">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支持任务接收者查看自己被分配的任务，包括分配时间、审核完成情况、任务状态及对应的分配样本等。</w:t>
      </w:r>
    </w:p>
    <w:p w14:paraId="570129C3">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支持任务接收者进行单个或批量样本审核通过或不通过。</w:t>
      </w:r>
    </w:p>
    <w:p w14:paraId="18E1F133">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支持任务接收者通过审核状态对审核样本进行筛选、查看及审核。</w:t>
      </w:r>
    </w:p>
    <w:p w14:paraId="412ABCE5">
      <w:pPr>
        <w:keepNext w:val="0"/>
        <w:keepLines w:val="0"/>
        <w:widowControl w:val="0"/>
        <w:suppressLineNumbers w:val="0"/>
        <w:autoSpaceDE w:val="0"/>
        <w:autoSpaceDN/>
        <w:spacing w:before="0" w:beforeAutospacing="0" w:after="0" w:afterAutospacing="0" w:line="360" w:lineRule="auto"/>
        <w:ind w:left="0" w:right="0" w:firstLine="482" w:firstLineChars="200"/>
        <w:jc w:val="left"/>
        <w:outlineLvl w:val="1"/>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2.8 专病数据供给</w:t>
      </w:r>
    </w:p>
    <w:p w14:paraId="454DDCE3">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参考乳腺癌专病库的研究方法，支持建立标准组、参照组等不同的研究队列，满足对照研究需求。</w:t>
      </w:r>
    </w:p>
    <w:p w14:paraId="2BBAC4DB">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lang w:val="en-US" w:eastAsia="zh-CN" w:bidi="ar"/>
        </w:rPr>
        <w:t>▲支持脱敏数据下载，数据脱敏需符合医疗数据安全规范，确保患者隐私不泄露（</w:t>
      </w:r>
      <w:r>
        <w:rPr>
          <w:rFonts w:hint="eastAsia" w:ascii="宋体" w:hAnsi="宋体" w:cs="宋体"/>
          <w:b/>
          <w:bCs/>
          <w:kern w:val="2"/>
          <w:sz w:val="24"/>
          <w:szCs w:val="24"/>
          <w:highlight w:val="none"/>
          <w:lang w:val="en-US" w:eastAsia="zh-CN" w:bidi="ar"/>
        </w:rPr>
        <w:t>响应文件中</w:t>
      </w:r>
      <w:r>
        <w:rPr>
          <w:rFonts w:hint="eastAsia" w:ascii="宋体" w:hAnsi="宋体" w:eastAsia="宋体" w:cs="宋体"/>
          <w:b/>
          <w:bCs/>
          <w:kern w:val="2"/>
          <w:sz w:val="24"/>
          <w:szCs w:val="24"/>
          <w:highlight w:val="none"/>
          <w:lang w:val="en-US" w:eastAsia="zh-CN" w:bidi="ar"/>
        </w:rPr>
        <w:t>提供功能截图</w:t>
      </w:r>
      <w:r>
        <w:rPr>
          <w:rFonts w:hint="eastAsia" w:ascii="宋体" w:hAnsi="宋体" w:eastAsia="宋体" w:cs="宋体"/>
          <w:b w:val="0"/>
          <w:bCs w:val="0"/>
          <w:kern w:val="2"/>
          <w:sz w:val="24"/>
          <w:szCs w:val="24"/>
          <w:highlight w:val="none"/>
          <w:lang w:val="en-US" w:eastAsia="zh-CN" w:bidi="ar"/>
        </w:rPr>
        <w:t>）。</w:t>
      </w:r>
    </w:p>
    <w:p w14:paraId="54C28486">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提供多种数据导出格式（如Excel、CSV等），便于科研工作者进行后续数据分析，为科研工作提供基础支撑。</w:t>
      </w:r>
    </w:p>
    <w:p w14:paraId="3214538B">
      <w:pPr>
        <w:keepNext w:val="0"/>
        <w:keepLines w:val="0"/>
        <w:widowControl w:val="0"/>
        <w:suppressLineNumbers w:val="0"/>
        <w:autoSpaceDE w:val="0"/>
        <w:autoSpaceDN/>
        <w:spacing w:before="0" w:beforeAutospacing="0" w:after="0" w:afterAutospacing="0" w:line="360" w:lineRule="auto"/>
        <w:ind w:left="0" w:leftChars="0" w:right="0"/>
        <w:jc w:val="left"/>
        <w:outlineLvl w:val="0"/>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53D73D15">
      <w:pPr>
        <w:keepNext w:val="0"/>
        <w:keepLines w:val="0"/>
        <w:widowControl w:val="0"/>
        <w:numPr>
          <w:ilvl w:val="0"/>
          <w:numId w:val="0"/>
        </w:numPr>
        <w:suppressLineNumbers w:val="0"/>
        <w:autoSpaceDE w:val="0"/>
        <w:autoSpaceDN/>
        <w:spacing w:before="0" w:beforeAutospacing="0" w:after="0" w:afterAutospacing="0" w:line="360" w:lineRule="auto"/>
        <w:ind w:left="0" w:leftChars="0" w:right="0" w:rightChars="0" w:firstLine="0" w:firstLineChars="0"/>
        <w:jc w:val="left"/>
        <w:outlineLvl w:val="0"/>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SA"/>
        </w:rPr>
        <w:t>三、</w:t>
      </w:r>
      <w:r>
        <w:rPr>
          <w:rFonts w:hint="eastAsia" w:ascii="宋体" w:hAnsi="宋体" w:eastAsia="宋体" w:cs="宋体"/>
          <w:b/>
          <w:bCs w:val="0"/>
          <w:kern w:val="2"/>
          <w:sz w:val="24"/>
          <w:szCs w:val="24"/>
          <w:highlight w:val="none"/>
          <w:lang w:val="en-US" w:eastAsia="zh-CN" w:bidi="ar"/>
        </w:rPr>
        <w:t>性能参数</w:t>
      </w:r>
    </w:p>
    <w:p w14:paraId="53597991">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数据处理能力：支持专病库样本及指标数据治理，具备10万级样本、200个规则指标的并发提取与处理能力，可支撑100路并发任务 同时运行；同时支持基于大模型的指标治理能力，可结合日志回放机制开展并发处理与结果验证，具体并发规模可根据实际模型服务能力动态调整。</w:t>
      </w:r>
    </w:p>
    <w:p w14:paraId="03FCA17E">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系统响应速度：简单检索响应时间≤10秒，满足日常快速查询需求；复杂检索15秒内完成响应。</w:t>
      </w:r>
    </w:p>
    <w:p w14:paraId="1BFDACA8">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并发处理能力：支持至少50名科研人员同时在线操作，无卡顿、崩溃现象。</w:t>
      </w:r>
    </w:p>
    <w:p w14:paraId="7E7BE511">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数据存储能力：支持≥100万条样本数据存储，支持存储容量动态扩容。</w:t>
      </w:r>
    </w:p>
    <w:p w14:paraId="283B6E4D">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b/>
          <w:bCs w:val="0"/>
          <w:kern w:val="2"/>
          <w:sz w:val="24"/>
          <w:szCs w:val="24"/>
          <w:highlight w:val="none"/>
        </w:rPr>
      </w:pPr>
      <w:r>
        <w:rPr>
          <w:rFonts w:hint="eastAsia" w:ascii="宋体" w:hAnsi="宋体" w:eastAsia="宋体" w:cs="宋体"/>
          <w:kern w:val="2"/>
          <w:sz w:val="24"/>
          <w:szCs w:val="24"/>
          <w:highlight w:val="none"/>
          <w:lang w:val="en-US" w:eastAsia="zh-CN" w:bidi="ar"/>
        </w:rPr>
        <w:t>稳定性：系统年平均故障率≤0.5%，单次故障恢复时间≤1小时。</w:t>
      </w:r>
    </w:p>
    <w:p w14:paraId="6544D3E1">
      <w:pPr>
        <w:keepNext w:val="0"/>
        <w:keepLines w:val="0"/>
        <w:widowControl w:val="0"/>
        <w:numPr>
          <w:ilvl w:val="0"/>
          <w:numId w:val="0"/>
        </w:numPr>
        <w:suppressLineNumbers w:val="0"/>
        <w:autoSpaceDE w:val="0"/>
        <w:autoSpaceDN/>
        <w:spacing w:before="0" w:beforeAutospacing="0" w:after="0" w:afterAutospacing="0" w:line="360" w:lineRule="auto"/>
        <w:ind w:left="0" w:leftChars="0" w:right="0" w:rightChars="0" w:firstLine="0" w:firstLineChars="0"/>
        <w:jc w:val="left"/>
        <w:outlineLvl w:val="0"/>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SA"/>
        </w:rPr>
        <w:t>四、</w:t>
      </w:r>
      <w:r>
        <w:rPr>
          <w:rFonts w:hint="eastAsia" w:ascii="宋体" w:hAnsi="宋体" w:eastAsia="宋体" w:cs="宋体"/>
          <w:b/>
          <w:bCs w:val="0"/>
          <w:kern w:val="2"/>
          <w:sz w:val="24"/>
          <w:szCs w:val="24"/>
          <w:highlight w:val="none"/>
          <w:lang w:val="en-US" w:eastAsia="zh-CN" w:bidi="ar"/>
        </w:rPr>
        <w:t>安全参数</w:t>
      </w:r>
    </w:p>
    <w:p w14:paraId="7223A40C">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权限管理：采用分级权限管理机制，不同角色对应不同操作权限，确保数据安全。</w:t>
      </w:r>
    </w:p>
    <w:p w14:paraId="407E0929">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数据加密：对患者隐私数据、科研核心数据进行加密存储和传输，符合《医疗数据安全指南》要求。</w:t>
      </w:r>
    </w:p>
    <w:p w14:paraId="33FD7F73">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日志管理：系统自动记录所有操作日志（如登录、数据录入、修改、导出等），日志留存时间≥3年，可追溯。</w:t>
      </w:r>
    </w:p>
    <w:p w14:paraId="4FA7D9B4">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备份恢复：支持数据自动备份（每日至少1次），备份数据留存≥6个月，支持快速恢复，数据恢复成功率≥99.9%。</w:t>
      </w:r>
    </w:p>
    <w:p w14:paraId="3B2C6138">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合规性：符合国家医疗数据安全、隐私保护相关法律法规及行业标准。</w:t>
      </w:r>
    </w:p>
    <w:p w14:paraId="7AD77B1D">
      <w:pPr>
        <w:keepNext w:val="0"/>
        <w:keepLines w:val="0"/>
        <w:widowControl w:val="0"/>
        <w:suppressLineNumbers w:val="0"/>
        <w:autoSpaceDE w:val="0"/>
        <w:autoSpaceDN/>
        <w:spacing w:before="0" w:beforeAutospacing="0" w:after="0" w:afterAutospacing="0" w:line="360" w:lineRule="auto"/>
        <w:ind w:left="0" w:leftChars="0" w:right="0"/>
        <w:jc w:val="left"/>
        <w:outlineLvl w:val="0"/>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31705A45">
      <w:pPr>
        <w:keepNext w:val="0"/>
        <w:keepLines w:val="0"/>
        <w:widowControl w:val="0"/>
        <w:numPr>
          <w:ilvl w:val="0"/>
          <w:numId w:val="0"/>
        </w:numPr>
        <w:suppressLineNumbers w:val="0"/>
        <w:autoSpaceDE w:val="0"/>
        <w:autoSpaceDN/>
        <w:spacing w:before="0" w:beforeAutospacing="0" w:after="0" w:afterAutospacing="0" w:line="360" w:lineRule="auto"/>
        <w:ind w:left="0" w:leftChars="0" w:right="0" w:rightChars="0" w:firstLine="0" w:firstLineChars="0"/>
        <w:jc w:val="left"/>
        <w:outlineLvl w:val="0"/>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SA"/>
        </w:rPr>
        <w:t>五、</w:t>
      </w:r>
      <w:r>
        <w:rPr>
          <w:rFonts w:hint="eastAsia" w:ascii="宋体" w:hAnsi="宋体" w:eastAsia="宋体" w:cs="宋体"/>
          <w:b/>
          <w:bCs w:val="0"/>
          <w:kern w:val="2"/>
          <w:sz w:val="24"/>
          <w:szCs w:val="24"/>
          <w:highlight w:val="none"/>
          <w:lang w:val="en-US" w:eastAsia="zh-CN" w:bidi="ar"/>
        </w:rPr>
        <w:t>兼容性及扩展性参数</w:t>
      </w:r>
    </w:p>
    <w:p w14:paraId="00EE2448">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兼容性：支持Windows、Linux等主流操作系统，支持Chrome、Edge、Firefox等主流浏览器（版本≥90）。</w:t>
      </w:r>
    </w:p>
    <w:p w14:paraId="5A02F4FB">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接口兼容：支持与医院现有HIS、LIS、EMR等系统对接，提供标准接口，实现数据互通。</w:t>
      </w:r>
    </w:p>
    <w:p w14:paraId="6D65EB8E">
      <w:pPr>
        <w:keepNext w:val="0"/>
        <w:keepLines w:val="0"/>
        <w:widowControl w:val="0"/>
        <w:suppressLineNumbers w:val="0"/>
        <w:autoSpaceDE w:val="0"/>
        <w:autoSpaceDN/>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扩展性：支持功能模块自定义新增、升级，支持数据字段扩展，满足后续科研需求变化；支持多机构数据对接，实现多中心科研协作。</w:t>
      </w:r>
    </w:p>
    <w:p w14:paraId="203C107A">
      <w:pPr>
        <w:pStyle w:val="3"/>
        <w:keepNext w:val="0"/>
        <w:keepLines w:val="0"/>
        <w:widowControl w:val="0"/>
        <w:suppressLineNumbers w:val="0"/>
        <w:autoSpaceDE w:val="0"/>
        <w:autoSpaceDN/>
        <w:spacing w:line="360" w:lineRule="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42D754D7">
      <w:pPr>
        <w:keepNext w:val="0"/>
        <w:keepLines w:val="0"/>
        <w:widowControl w:val="0"/>
        <w:numPr>
          <w:ilvl w:val="0"/>
          <w:numId w:val="0"/>
        </w:numPr>
        <w:suppressLineNumbers w:val="0"/>
        <w:autoSpaceDE w:val="0"/>
        <w:autoSpaceDN/>
        <w:spacing w:before="0" w:beforeAutospacing="0" w:after="0" w:afterAutospacing="0" w:line="360" w:lineRule="auto"/>
        <w:ind w:left="0" w:leftChars="0" w:right="0" w:rightChars="0" w:firstLine="0" w:firstLineChars="0"/>
        <w:jc w:val="left"/>
        <w:outlineLvl w:val="0"/>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SA"/>
        </w:rPr>
        <w:t>六、</w:t>
      </w:r>
      <w:r>
        <w:rPr>
          <w:rFonts w:hint="eastAsia" w:ascii="宋体" w:hAnsi="宋体" w:eastAsia="宋体" w:cs="宋体"/>
          <w:b/>
          <w:bCs w:val="0"/>
          <w:kern w:val="2"/>
          <w:sz w:val="24"/>
          <w:szCs w:val="24"/>
          <w:highlight w:val="none"/>
          <w:lang w:val="en-US" w:eastAsia="zh-CN" w:bidi="ar"/>
        </w:rPr>
        <w:t>接口要求</w:t>
      </w:r>
    </w:p>
    <w:p w14:paraId="3E0279D4">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
        </w:rPr>
        <w:t>支持与</w:t>
      </w:r>
      <w:r>
        <w:rPr>
          <w:rFonts w:hint="eastAsia" w:ascii="宋体" w:hAnsi="宋体" w:cs="宋体"/>
          <w:kern w:val="2"/>
          <w:sz w:val="24"/>
          <w:szCs w:val="24"/>
          <w:highlight w:val="none"/>
          <w:lang w:val="en-US" w:eastAsia="zh-CN" w:bidi="ar"/>
        </w:rPr>
        <w:t>采购人</w:t>
      </w:r>
      <w:r>
        <w:rPr>
          <w:rFonts w:hint="eastAsia" w:ascii="宋体" w:hAnsi="宋体" w:eastAsia="宋体" w:cs="宋体"/>
          <w:kern w:val="2"/>
          <w:sz w:val="24"/>
          <w:szCs w:val="24"/>
          <w:highlight w:val="none"/>
          <w:lang w:val="en-US" w:eastAsia="zh-CN" w:bidi="ar"/>
        </w:rPr>
        <w:t>ESB服务总线对接,按照</w:t>
      </w:r>
      <w:r>
        <w:rPr>
          <w:rFonts w:hint="eastAsia" w:ascii="宋体" w:hAnsi="宋体" w:cs="宋体"/>
          <w:kern w:val="2"/>
          <w:sz w:val="24"/>
          <w:szCs w:val="24"/>
          <w:highlight w:val="none"/>
          <w:lang w:val="en-US" w:eastAsia="zh-CN" w:bidi="ar"/>
        </w:rPr>
        <w:t>采购人</w:t>
      </w:r>
      <w:r>
        <w:rPr>
          <w:rFonts w:hint="eastAsia" w:ascii="宋体" w:hAnsi="宋体" w:eastAsia="宋体" w:cs="宋体"/>
          <w:kern w:val="2"/>
          <w:sz w:val="24"/>
          <w:szCs w:val="24"/>
          <w:highlight w:val="none"/>
          <w:lang w:val="en-US" w:eastAsia="zh-CN" w:bidi="ar"/>
        </w:rPr>
        <w:t>ESB服务总线接口规范要求进行开发接口，对于</w:t>
      </w:r>
      <w:r>
        <w:rPr>
          <w:rFonts w:hint="eastAsia" w:ascii="宋体" w:hAnsi="宋体" w:cs="宋体"/>
          <w:kern w:val="2"/>
          <w:sz w:val="24"/>
          <w:szCs w:val="24"/>
          <w:highlight w:val="none"/>
          <w:lang w:val="en-US" w:eastAsia="zh-CN" w:bidi="ar"/>
        </w:rPr>
        <w:t>采购人</w:t>
      </w:r>
      <w:r>
        <w:rPr>
          <w:rFonts w:hint="eastAsia" w:ascii="宋体" w:hAnsi="宋体" w:eastAsia="宋体" w:cs="宋体"/>
          <w:kern w:val="2"/>
          <w:sz w:val="24"/>
          <w:szCs w:val="24"/>
          <w:highlight w:val="none"/>
          <w:lang w:val="en-US" w:eastAsia="zh-CN" w:bidi="ar"/>
        </w:rPr>
        <w:t>ESB服务总线已部署的公共接口,需按照公共接口格式规范进行接口对接，对于</w:t>
      </w:r>
      <w:r>
        <w:rPr>
          <w:rFonts w:hint="eastAsia" w:ascii="宋体" w:hAnsi="宋体" w:cs="宋体"/>
          <w:kern w:val="2"/>
          <w:sz w:val="24"/>
          <w:szCs w:val="24"/>
          <w:highlight w:val="none"/>
          <w:lang w:val="en-US" w:eastAsia="zh-CN" w:bidi="ar"/>
        </w:rPr>
        <w:t>采购人</w:t>
      </w:r>
      <w:r>
        <w:rPr>
          <w:rFonts w:hint="eastAsia" w:ascii="宋体" w:hAnsi="宋体" w:eastAsia="宋体" w:cs="宋体"/>
          <w:kern w:val="2"/>
          <w:sz w:val="24"/>
          <w:szCs w:val="24"/>
          <w:highlight w:val="none"/>
          <w:lang w:val="en-US" w:eastAsia="zh-CN" w:bidi="ar"/>
        </w:rPr>
        <w:t>公共接口不能满足的部分进行定制接口对接。</w:t>
      </w:r>
    </w:p>
    <w:p w14:paraId="5A631705">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kern w:val="2"/>
          <w:sz w:val="24"/>
          <w:szCs w:val="24"/>
          <w:highlight w:val="none"/>
          <w:lang w:val="en-US" w:eastAsia="zh-CN" w:bidi="ar"/>
        </w:rPr>
        <w:t>★</w:t>
      </w:r>
      <w:r>
        <w:rPr>
          <w:rFonts w:hint="eastAsia" w:ascii="宋体" w:hAnsi="宋体" w:cs="宋体"/>
          <w:kern w:val="2"/>
          <w:sz w:val="24"/>
          <w:szCs w:val="24"/>
          <w:highlight w:val="none"/>
          <w:lang w:val="en-US" w:eastAsia="zh-CN" w:bidi="ar"/>
        </w:rPr>
        <w:t>参选</w:t>
      </w:r>
      <w:r>
        <w:rPr>
          <w:rFonts w:hint="eastAsia" w:ascii="宋体" w:hAnsi="宋体" w:eastAsia="宋体" w:cs="宋体"/>
          <w:kern w:val="2"/>
          <w:sz w:val="24"/>
          <w:szCs w:val="24"/>
          <w:highlight w:val="none"/>
          <w:lang w:val="en-US" w:eastAsia="zh-CN" w:bidi="ar"/>
        </w:rPr>
        <w:t>方可免费适配ESB服务总线公共函数接口，</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方承担定制第三方接口费用，免费开放本业务系统接口提供推送和调用服务适配 ESB服务总线供第三方业务系统使用</w:t>
      </w:r>
      <w:r>
        <w:rPr>
          <w:rFonts w:hint="eastAsia" w:ascii="宋体" w:hAnsi="宋体" w:eastAsia="宋体" w:cs="宋体"/>
          <w:b/>
          <w:bCs/>
          <w:kern w:val="2"/>
          <w:sz w:val="24"/>
          <w:szCs w:val="24"/>
          <w:highlight w:val="none"/>
          <w:lang w:val="en-US" w:eastAsia="zh-CN" w:bidi="ar"/>
        </w:rPr>
        <w:t>（提供承诺函）</w:t>
      </w:r>
      <w:r>
        <w:rPr>
          <w:rFonts w:hint="eastAsia" w:ascii="宋体" w:hAnsi="宋体" w:eastAsia="宋体" w:cs="宋体"/>
          <w:kern w:val="2"/>
          <w:sz w:val="24"/>
          <w:szCs w:val="24"/>
          <w:highlight w:val="none"/>
          <w:lang w:val="en-US" w:eastAsia="zh-CN" w:bidi="ar"/>
        </w:rPr>
        <w:t>。</w:t>
      </w:r>
    </w:p>
    <w:p w14:paraId="0BFA9150">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3.</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方需要通过服务器与 ESB 服务总线进行接口对接，对于同一厂商的多台、多套设备或者同一厂商在我院有多个业务系统的，原则上只能通过统一的一个接口服务器与 ESB 进行对接,并由统一的平台进行管理。</w:t>
      </w:r>
    </w:p>
    <w:p w14:paraId="7F3C954A">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4.</w:t>
      </w:r>
      <w:r>
        <w:rPr>
          <w:rFonts w:hint="eastAsia" w:ascii="宋体" w:hAnsi="宋体" w:eastAsia="宋体" w:cs="宋体"/>
          <w:kern w:val="2"/>
          <w:sz w:val="24"/>
          <w:szCs w:val="24"/>
          <w:highlight w:val="none"/>
          <w:lang w:val="en-US" w:eastAsia="zh-CN" w:bidi="ar"/>
        </w:rPr>
        <w:t>★如遇接口调整，</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方须无条件配合医院完成接口改造，不得另行收取费用</w:t>
      </w:r>
      <w:r>
        <w:rPr>
          <w:rFonts w:hint="eastAsia" w:ascii="宋体" w:hAnsi="宋体" w:eastAsia="宋体" w:cs="宋体"/>
          <w:b/>
          <w:bCs/>
          <w:kern w:val="2"/>
          <w:sz w:val="24"/>
          <w:szCs w:val="24"/>
          <w:highlight w:val="none"/>
          <w:lang w:val="en-US" w:eastAsia="zh-CN" w:bidi="ar"/>
        </w:rPr>
        <w:t>（提供承诺函）</w:t>
      </w:r>
      <w:r>
        <w:rPr>
          <w:rFonts w:hint="eastAsia" w:ascii="宋体" w:hAnsi="宋体" w:eastAsia="宋体" w:cs="宋体"/>
          <w:kern w:val="2"/>
          <w:sz w:val="24"/>
          <w:szCs w:val="24"/>
          <w:highlight w:val="none"/>
          <w:lang w:val="en-US" w:eastAsia="zh-CN" w:bidi="ar"/>
        </w:rPr>
        <w:t>。</w:t>
      </w:r>
    </w:p>
    <w:p w14:paraId="2D511D7A">
      <w:pPr>
        <w:pStyle w:val="3"/>
        <w:keepNext w:val="0"/>
        <w:keepLines w:val="0"/>
        <w:widowControl w:val="0"/>
        <w:suppressLineNumbers w:val="0"/>
        <w:autoSpaceDE w:val="0"/>
        <w:autoSpaceDN/>
        <w:spacing w:line="360" w:lineRule="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1DDD6AD6">
      <w:pPr>
        <w:keepNext w:val="0"/>
        <w:keepLines w:val="0"/>
        <w:widowControl w:val="0"/>
        <w:numPr>
          <w:ilvl w:val="0"/>
          <w:numId w:val="0"/>
        </w:numPr>
        <w:suppressLineNumbers w:val="0"/>
        <w:autoSpaceDE w:val="0"/>
        <w:autoSpaceDN/>
        <w:spacing w:before="0" w:beforeAutospacing="0" w:after="0" w:afterAutospacing="0" w:line="360" w:lineRule="auto"/>
        <w:ind w:left="0" w:leftChars="0" w:right="0" w:rightChars="0" w:firstLine="0" w:firstLineChars="0"/>
        <w:jc w:val="left"/>
        <w:outlineLvl w:val="0"/>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SA"/>
        </w:rPr>
        <w:t>七、</w:t>
      </w:r>
      <w:r>
        <w:rPr>
          <w:rFonts w:hint="eastAsia" w:ascii="宋体" w:hAnsi="宋体" w:eastAsia="宋体" w:cs="宋体"/>
          <w:b/>
          <w:bCs w:val="0"/>
          <w:kern w:val="2"/>
          <w:sz w:val="24"/>
          <w:szCs w:val="24"/>
          <w:highlight w:val="none"/>
          <w:lang w:val="en-US" w:eastAsia="zh-CN" w:bidi="ar"/>
        </w:rPr>
        <w:t>服务器配置要求</w:t>
      </w:r>
    </w:p>
    <w:p w14:paraId="5DC0C3E6">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
        </w:rPr>
        <w:t>本项目采用云资源独立部署方式并提供固定IP地址，</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方需按</w:t>
      </w:r>
      <w:r>
        <w:rPr>
          <w:rFonts w:hint="eastAsia" w:ascii="宋体" w:hAnsi="宋体" w:cs="宋体"/>
          <w:kern w:val="2"/>
          <w:sz w:val="24"/>
          <w:szCs w:val="24"/>
          <w:highlight w:val="none"/>
          <w:lang w:val="en-US" w:eastAsia="zh-CN" w:bidi="ar"/>
        </w:rPr>
        <w:t>采购人</w:t>
      </w:r>
      <w:r>
        <w:rPr>
          <w:rFonts w:hint="eastAsia" w:ascii="宋体" w:hAnsi="宋体" w:eastAsia="宋体" w:cs="宋体"/>
          <w:kern w:val="2"/>
          <w:sz w:val="24"/>
          <w:szCs w:val="24"/>
          <w:highlight w:val="none"/>
          <w:lang w:val="en-US" w:eastAsia="zh-CN" w:bidi="ar"/>
        </w:rPr>
        <w:t>要求对硬件资源（如服务器运算能力、存储能力、带宽等）进行弹性供应，以便满足客户所有人员同时使用的高并发需求</w:t>
      </w:r>
      <w:r>
        <w:rPr>
          <w:rFonts w:hint="eastAsia" w:ascii="宋体" w:hAnsi="宋体" w:eastAsia="宋体" w:cs="宋体"/>
          <w:b/>
          <w:bCs/>
          <w:kern w:val="2"/>
          <w:sz w:val="24"/>
          <w:szCs w:val="24"/>
          <w:highlight w:val="none"/>
          <w:lang w:val="en-US" w:eastAsia="zh-CN" w:bidi="ar"/>
        </w:rPr>
        <w:t>（提供承诺书）</w:t>
      </w:r>
      <w:r>
        <w:rPr>
          <w:rFonts w:hint="eastAsia" w:ascii="宋体" w:hAnsi="宋体" w:eastAsia="宋体" w:cs="宋体"/>
          <w:kern w:val="2"/>
          <w:sz w:val="24"/>
          <w:szCs w:val="24"/>
          <w:highlight w:val="none"/>
          <w:lang w:val="en-US" w:eastAsia="zh-CN" w:bidi="ar"/>
        </w:rPr>
        <w:t>。</w:t>
      </w:r>
    </w:p>
    <w:p w14:paraId="56424D6C">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kern w:val="2"/>
          <w:sz w:val="24"/>
          <w:szCs w:val="24"/>
          <w:highlight w:val="none"/>
          <w:lang w:val="en-US" w:eastAsia="zh-CN" w:bidi="ar"/>
        </w:rPr>
        <w:t>本项目</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人需提供项目实施期间及项目验收后需提供一年支撑部署资源及算力租赁（费用包含在总价内）。</w:t>
      </w:r>
    </w:p>
    <w:p w14:paraId="4C542983">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kern w:val="2"/>
          <w:sz w:val="24"/>
          <w:szCs w:val="24"/>
          <w:highlight w:val="none"/>
          <w:lang w:val="en-US" w:eastAsia="zh-CN" w:bidi="ar"/>
        </w:rPr>
        <w:t>支持国产化环境部署，支持主流国产数据库（如华为高斯、人大金仓、达梦等）。</w:t>
      </w:r>
    </w:p>
    <w:p w14:paraId="05F6EF04">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4.</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方需保证云资源部署方式的数据安全，如发生数据泄露等安全事故，一切后果由</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方承担。</w:t>
      </w:r>
    </w:p>
    <w:p w14:paraId="155CE3D4">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5.</w:t>
      </w:r>
      <w:r>
        <w:rPr>
          <w:rFonts w:hint="eastAsia" w:ascii="宋体" w:hAnsi="宋体" w:eastAsia="宋体" w:cs="宋体"/>
          <w:kern w:val="2"/>
          <w:sz w:val="24"/>
          <w:szCs w:val="24"/>
          <w:highlight w:val="none"/>
          <w:lang w:val="en-US" w:eastAsia="zh-CN" w:bidi="ar"/>
        </w:rPr>
        <w:t>本项目提供的云资源具有公安部有效的信息系统安全等级保护三级或以上备案证明。</w:t>
      </w:r>
    </w:p>
    <w:p w14:paraId="30BD93BF">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6.</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方应确保操作系统、数据库安全补丁升级后系统正常运行的要求。</w:t>
      </w:r>
    </w:p>
    <w:p w14:paraId="4C1971AA">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7.</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方应做好相关设置、安全补丁安装、数据备份，按甲方需求，配合甲方安全等级保护检测信息安全问题改造。</w:t>
      </w:r>
    </w:p>
    <w:p w14:paraId="1650C2C7">
      <w:pPr>
        <w:keepNext w:val="0"/>
        <w:keepLines w:val="0"/>
        <w:widowControl w:val="0"/>
        <w:suppressLineNumbers w:val="0"/>
        <w:autoSpaceDE w:val="0"/>
        <w:autoSpaceDN/>
        <w:spacing w:before="0" w:beforeAutospacing="0" w:after="0" w:afterAutospacing="0" w:line="360" w:lineRule="auto"/>
        <w:ind w:left="0" w:leftChars="0" w:right="0"/>
        <w:jc w:val="left"/>
        <w:outlineLvl w:val="0"/>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69F0A11D">
      <w:pPr>
        <w:keepNext w:val="0"/>
        <w:keepLines w:val="0"/>
        <w:widowControl w:val="0"/>
        <w:numPr>
          <w:ilvl w:val="0"/>
          <w:numId w:val="0"/>
        </w:numPr>
        <w:suppressLineNumbers w:val="0"/>
        <w:autoSpaceDE w:val="0"/>
        <w:autoSpaceDN/>
        <w:spacing w:before="0" w:beforeAutospacing="0" w:after="0" w:afterAutospacing="0" w:line="360" w:lineRule="auto"/>
        <w:ind w:left="0" w:leftChars="0" w:right="0" w:rightChars="0" w:firstLine="0" w:firstLineChars="0"/>
        <w:jc w:val="left"/>
        <w:outlineLvl w:val="0"/>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SA"/>
        </w:rPr>
        <w:t>八、</w:t>
      </w:r>
      <w:r>
        <w:rPr>
          <w:rFonts w:hint="eastAsia" w:ascii="宋体" w:hAnsi="宋体" w:eastAsia="宋体" w:cs="宋体"/>
          <w:b/>
          <w:bCs w:val="0"/>
          <w:kern w:val="2"/>
          <w:sz w:val="24"/>
          <w:szCs w:val="24"/>
          <w:highlight w:val="none"/>
          <w:lang w:val="en-US" w:eastAsia="zh-CN" w:bidi="ar"/>
        </w:rPr>
        <w:t>实施要求</w:t>
      </w:r>
    </w:p>
    <w:p w14:paraId="545C84EF">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
        </w:rPr>
        <w:t>★</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方收到</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通知书接</w:t>
      </w:r>
      <w:r>
        <w:rPr>
          <w:rFonts w:hint="eastAsia" w:ascii="宋体" w:hAnsi="宋体" w:cs="宋体"/>
          <w:kern w:val="2"/>
          <w:sz w:val="24"/>
          <w:szCs w:val="24"/>
          <w:highlight w:val="none"/>
          <w:lang w:val="en-US" w:eastAsia="zh-CN" w:bidi="ar"/>
        </w:rPr>
        <w:t>采购人</w:t>
      </w:r>
      <w:r>
        <w:rPr>
          <w:rFonts w:hint="eastAsia" w:ascii="宋体" w:hAnsi="宋体" w:eastAsia="宋体" w:cs="宋体"/>
          <w:kern w:val="2"/>
          <w:sz w:val="24"/>
          <w:szCs w:val="24"/>
          <w:highlight w:val="none"/>
          <w:lang w:val="en-US" w:eastAsia="zh-CN" w:bidi="ar"/>
        </w:rPr>
        <w:t>通知后即进场调研，合同签订后接</w:t>
      </w:r>
      <w:r>
        <w:rPr>
          <w:rFonts w:hint="eastAsia" w:ascii="宋体" w:hAnsi="宋体" w:cs="宋体"/>
          <w:kern w:val="2"/>
          <w:sz w:val="24"/>
          <w:szCs w:val="24"/>
          <w:highlight w:val="none"/>
          <w:lang w:val="en-US" w:eastAsia="zh-CN" w:bidi="ar"/>
        </w:rPr>
        <w:t>采购人</w:t>
      </w:r>
      <w:r>
        <w:rPr>
          <w:rFonts w:hint="eastAsia" w:ascii="宋体" w:hAnsi="宋体" w:eastAsia="宋体" w:cs="宋体"/>
          <w:kern w:val="2"/>
          <w:sz w:val="24"/>
          <w:szCs w:val="24"/>
          <w:highlight w:val="none"/>
          <w:lang w:val="en-US" w:eastAsia="zh-CN" w:bidi="ar"/>
        </w:rPr>
        <w:t>通知起10日内进场实施，6个月内完成本地化部署及试运行（1个月）。如因</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方原因造成无法按照合同约定工期完成实施，则</w:t>
      </w:r>
      <w:r>
        <w:rPr>
          <w:rFonts w:hint="eastAsia" w:ascii="宋体" w:hAnsi="宋体" w:cs="宋体"/>
          <w:kern w:val="2"/>
          <w:sz w:val="24"/>
          <w:szCs w:val="24"/>
          <w:highlight w:val="none"/>
          <w:lang w:val="en-US" w:eastAsia="zh-CN" w:bidi="ar"/>
        </w:rPr>
        <w:t>采购人</w:t>
      </w:r>
      <w:r>
        <w:rPr>
          <w:rFonts w:hint="eastAsia" w:ascii="宋体" w:hAnsi="宋体" w:eastAsia="宋体" w:cs="宋体"/>
          <w:kern w:val="2"/>
          <w:sz w:val="24"/>
          <w:szCs w:val="24"/>
          <w:highlight w:val="none"/>
          <w:lang w:val="en-US" w:eastAsia="zh-CN" w:bidi="ar"/>
        </w:rPr>
        <w:t>将按照合同约定条款对</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方进行处罚</w:t>
      </w:r>
      <w:r>
        <w:rPr>
          <w:rFonts w:hint="eastAsia" w:ascii="宋体" w:hAnsi="宋体" w:eastAsia="宋体" w:cs="宋体"/>
          <w:b/>
          <w:bCs/>
          <w:kern w:val="2"/>
          <w:sz w:val="24"/>
          <w:szCs w:val="24"/>
          <w:highlight w:val="none"/>
          <w:lang w:val="en-US" w:eastAsia="zh-CN" w:bidi="ar"/>
        </w:rPr>
        <w:t>（提供承诺函）</w:t>
      </w:r>
      <w:r>
        <w:rPr>
          <w:rFonts w:hint="eastAsia" w:ascii="宋体" w:hAnsi="宋体" w:eastAsia="宋体" w:cs="宋体"/>
          <w:kern w:val="2"/>
          <w:sz w:val="24"/>
          <w:szCs w:val="24"/>
          <w:highlight w:val="none"/>
          <w:lang w:val="en-US" w:eastAsia="zh-CN" w:bidi="ar"/>
        </w:rPr>
        <w:t>。</w:t>
      </w:r>
    </w:p>
    <w:p w14:paraId="23E34D95">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kern w:val="2"/>
          <w:sz w:val="24"/>
          <w:szCs w:val="24"/>
          <w:highlight w:val="none"/>
          <w:lang w:val="en-US" w:eastAsia="zh-CN" w:bidi="ar"/>
        </w:rPr>
        <w:t>试运行期间，须保证无重大差错发生。试运行通过后经过1个月正常平稳运行后，可进行评估与验收。</w:t>
      </w:r>
    </w:p>
    <w:p w14:paraId="0CC53082">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kern w:val="2"/>
          <w:sz w:val="24"/>
          <w:szCs w:val="24"/>
          <w:highlight w:val="none"/>
          <w:lang w:val="en-US" w:eastAsia="zh-CN" w:bidi="ar"/>
        </w:rPr>
        <w:t>调研期间，</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方应根据</w:t>
      </w:r>
      <w:r>
        <w:rPr>
          <w:rFonts w:hint="eastAsia" w:ascii="宋体" w:hAnsi="宋体" w:cs="宋体"/>
          <w:kern w:val="2"/>
          <w:sz w:val="24"/>
          <w:szCs w:val="24"/>
          <w:highlight w:val="none"/>
          <w:lang w:val="en-US" w:eastAsia="zh-CN" w:bidi="ar"/>
        </w:rPr>
        <w:t>采购人</w:t>
      </w:r>
      <w:r>
        <w:rPr>
          <w:rFonts w:hint="eastAsia" w:ascii="宋体" w:hAnsi="宋体" w:eastAsia="宋体" w:cs="宋体"/>
          <w:kern w:val="2"/>
          <w:sz w:val="24"/>
          <w:szCs w:val="24"/>
          <w:highlight w:val="none"/>
          <w:lang w:val="en-US" w:eastAsia="zh-CN" w:bidi="ar"/>
        </w:rPr>
        <w:t>的需求，制定整体上线实施方案，提供详细实施方案与进度计划。</w:t>
      </w:r>
    </w:p>
    <w:p w14:paraId="062A57B9">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4.</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方需提供拥有丰富经验的实施团队完成本次项目实施，针对本项目成立项目小组，在响应文件中提供书面名单，人员一旦得到</w:t>
      </w:r>
      <w:r>
        <w:rPr>
          <w:rFonts w:hint="eastAsia" w:ascii="宋体" w:hAnsi="宋体" w:cs="宋体"/>
          <w:kern w:val="2"/>
          <w:sz w:val="24"/>
          <w:szCs w:val="24"/>
          <w:highlight w:val="none"/>
          <w:lang w:val="en-US" w:eastAsia="zh-CN" w:bidi="ar"/>
        </w:rPr>
        <w:t>采购人</w:t>
      </w:r>
      <w:r>
        <w:rPr>
          <w:rFonts w:hint="eastAsia" w:ascii="宋体" w:hAnsi="宋体" w:eastAsia="宋体" w:cs="宋体"/>
          <w:kern w:val="2"/>
          <w:sz w:val="24"/>
          <w:szCs w:val="24"/>
          <w:highlight w:val="none"/>
          <w:lang w:val="en-US" w:eastAsia="zh-CN" w:bidi="ar"/>
        </w:rPr>
        <w:t>确认，无特殊理由不得变动，且项目经理未得到医院同意的情况下不得更换。</w:t>
      </w:r>
    </w:p>
    <w:p w14:paraId="2CAE85E5">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5.</w:t>
      </w:r>
      <w:r>
        <w:rPr>
          <w:rFonts w:hint="eastAsia" w:ascii="宋体" w:hAnsi="宋体" w:cs="宋体"/>
          <w:kern w:val="2"/>
          <w:sz w:val="24"/>
          <w:szCs w:val="24"/>
          <w:highlight w:val="none"/>
          <w:lang w:val="en-US" w:eastAsia="zh-CN" w:bidi="ar"/>
        </w:rPr>
        <w:t>采购人</w:t>
      </w:r>
      <w:r>
        <w:rPr>
          <w:rFonts w:hint="eastAsia" w:ascii="宋体" w:hAnsi="宋体" w:eastAsia="宋体" w:cs="宋体"/>
          <w:kern w:val="2"/>
          <w:sz w:val="24"/>
          <w:szCs w:val="24"/>
          <w:highlight w:val="none"/>
          <w:lang w:val="en-US" w:eastAsia="zh-CN" w:bidi="ar"/>
        </w:rPr>
        <w:t>有权根据实施情况要求更换项目经理和实施人员。</w:t>
      </w:r>
    </w:p>
    <w:p w14:paraId="0FD54F8A">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6.</w:t>
      </w:r>
      <w:r>
        <w:rPr>
          <w:rFonts w:hint="eastAsia" w:ascii="宋体" w:hAnsi="宋体" w:eastAsia="宋体" w:cs="宋体"/>
          <w:kern w:val="2"/>
          <w:sz w:val="24"/>
          <w:szCs w:val="24"/>
          <w:highlight w:val="none"/>
          <w:lang w:val="en-US" w:eastAsia="zh-CN" w:bidi="ar"/>
        </w:rPr>
        <w:t>按</w:t>
      </w:r>
      <w:r>
        <w:rPr>
          <w:rFonts w:hint="eastAsia" w:ascii="宋体" w:hAnsi="宋体" w:cs="宋体"/>
          <w:kern w:val="2"/>
          <w:sz w:val="24"/>
          <w:szCs w:val="24"/>
          <w:highlight w:val="none"/>
          <w:lang w:val="en-US" w:eastAsia="zh-CN" w:bidi="ar"/>
        </w:rPr>
        <w:t>采购人</w:t>
      </w:r>
      <w:r>
        <w:rPr>
          <w:rFonts w:hint="eastAsia" w:ascii="宋体" w:hAnsi="宋体" w:eastAsia="宋体" w:cs="宋体"/>
          <w:kern w:val="2"/>
          <w:sz w:val="24"/>
          <w:szCs w:val="24"/>
          <w:highlight w:val="none"/>
          <w:lang w:val="en-US" w:eastAsia="zh-CN" w:bidi="ar"/>
        </w:rPr>
        <w:t>需求进行本地化开发。</w:t>
      </w:r>
    </w:p>
    <w:p w14:paraId="10A2FDC4">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7.</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方需按照</w:t>
      </w:r>
      <w:r>
        <w:rPr>
          <w:rFonts w:hint="eastAsia" w:ascii="宋体" w:hAnsi="宋体" w:cs="宋体"/>
          <w:kern w:val="2"/>
          <w:sz w:val="24"/>
          <w:szCs w:val="24"/>
          <w:highlight w:val="none"/>
          <w:lang w:val="en-US" w:eastAsia="zh-CN" w:bidi="ar"/>
        </w:rPr>
        <w:t>采购人</w:t>
      </w:r>
      <w:r>
        <w:rPr>
          <w:rFonts w:hint="eastAsia" w:ascii="宋体" w:hAnsi="宋体" w:eastAsia="宋体" w:cs="宋体"/>
          <w:kern w:val="2"/>
          <w:sz w:val="24"/>
          <w:szCs w:val="24"/>
          <w:highlight w:val="none"/>
          <w:lang w:val="en-US" w:eastAsia="zh-CN" w:bidi="ar"/>
        </w:rPr>
        <w:t>的项目管理流程进行实施，验收前</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方需提供项目过程中所需审计材料并装订成册。</w:t>
      </w:r>
    </w:p>
    <w:p w14:paraId="220937FD">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8.</w:t>
      </w:r>
      <w:r>
        <w:rPr>
          <w:rFonts w:hint="eastAsia" w:ascii="宋体" w:hAnsi="宋体" w:eastAsia="宋体" w:cs="宋体"/>
          <w:kern w:val="2"/>
          <w:sz w:val="24"/>
          <w:szCs w:val="24"/>
          <w:highlight w:val="none"/>
          <w:lang w:val="en-US" w:eastAsia="zh-CN" w:bidi="ar"/>
        </w:rPr>
        <w:t>如遇突发紧急事件，</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方应无条件配合加班。</w:t>
      </w:r>
    </w:p>
    <w:p w14:paraId="124DB347">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9.</w:t>
      </w:r>
      <w:r>
        <w:rPr>
          <w:rFonts w:hint="eastAsia" w:ascii="宋体" w:hAnsi="宋体" w:eastAsia="宋体" w:cs="宋体"/>
          <w:kern w:val="2"/>
          <w:sz w:val="24"/>
          <w:szCs w:val="24"/>
          <w:highlight w:val="none"/>
          <w:lang w:val="en-US" w:eastAsia="zh-CN" w:bidi="ar"/>
        </w:rPr>
        <w:t>所有设备免费安装。</w:t>
      </w:r>
    </w:p>
    <w:p w14:paraId="522721C8">
      <w:pPr>
        <w:pStyle w:val="3"/>
        <w:keepNext w:val="0"/>
        <w:keepLines w:val="0"/>
        <w:widowControl w:val="0"/>
        <w:suppressLineNumbers w:val="0"/>
        <w:autoSpaceDE w:val="0"/>
        <w:autoSpaceDN/>
        <w:spacing w:line="360" w:lineRule="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1D2B6F15">
      <w:pPr>
        <w:keepNext w:val="0"/>
        <w:keepLines w:val="0"/>
        <w:widowControl w:val="0"/>
        <w:numPr>
          <w:ilvl w:val="0"/>
          <w:numId w:val="0"/>
        </w:numPr>
        <w:suppressLineNumbers w:val="0"/>
        <w:autoSpaceDE w:val="0"/>
        <w:autoSpaceDN/>
        <w:spacing w:before="0" w:beforeAutospacing="0" w:after="0" w:afterAutospacing="0" w:line="360" w:lineRule="auto"/>
        <w:ind w:left="0" w:leftChars="0" w:right="0" w:rightChars="0" w:firstLine="0" w:firstLineChars="0"/>
        <w:jc w:val="left"/>
        <w:outlineLvl w:val="0"/>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SA"/>
        </w:rPr>
        <w:t>九、</w:t>
      </w:r>
      <w:r>
        <w:rPr>
          <w:rFonts w:hint="eastAsia" w:ascii="宋体" w:hAnsi="宋体" w:eastAsia="宋体" w:cs="宋体"/>
          <w:b/>
          <w:bCs w:val="0"/>
          <w:kern w:val="2"/>
          <w:sz w:val="24"/>
          <w:szCs w:val="24"/>
          <w:highlight w:val="none"/>
          <w:lang w:val="en-US" w:eastAsia="zh-CN" w:bidi="ar"/>
        </w:rPr>
        <w:t>培训要求</w:t>
      </w:r>
    </w:p>
    <w:p w14:paraId="5E968439">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
        </w:rPr>
        <w:t>提供项目培训计划，</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方须为本项目中涉及的各个部门的管理员及使用人员组织详尽的培训，确保相关人员可以熟练正确的使用系统。</w:t>
      </w:r>
    </w:p>
    <w:p w14:paraId="53BA5FB2">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kern w:val="2"/>
          <w:sz w:val="24"/>
          <w:szCs w:val="24"/>
          <w:highlight w:val="none"/>
          <w:lang w:val="en-US" w:eastAsia="zh-CN" w:bidi="ar"/>
        </w:rPr>
        <w:t>必须为所有被培训人员提供培训用文字资料和讲义等相关用品。</w:t>
      </w:r>
    </w:p>
    <w:p w14:paraId="073F31C3">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kern w:val="2"/>
          <w:sz w:val="24"/>
          <w:szCs w:val="24"/>
          <w:highlight w:val="none"/>
          <w:lang w:val="en-US" w:eastAsia="zh-CN" w:bidi="ar"/>
        </w:rPr>
        <w:t>根据用户需要，提供后续培训任务。</w:t>
      </w:r>
    </w:p>
    <w:p w14:paraId="02228E7A">
      <w:pPr>
        <w:pStyle w:val="3"/>
        <w:keepNext w:val="0"/>
        <w:keepLines w:val="0"/>
        <w:widowControl w:val="0"/>
        <w:suppressLineNumbers w:val="0"/>
        <w:autoSpaceDE w:val="0"/>
        <w:autoSpaceDN/>
        <w:spacing w:line="360" w:lineRule="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53DB62CC">
      <w:pPr>
        <w:keepNext w:val="0"/>
        <w:keepLines w:val="0"/>
        <w:widowControl w:val="0"/>
        <w:numPr>
          <w:ilvl w:val="0"/>
          <w:numId w:val="0"/>
        </w:numPr>
        <w:suppressLineNumbers w:val="0"/>
        <w:autoSpaceDE w:val="0"/>
        <w:autoSpaceDN/>
        <w:spacing w:before="0" w:beforeAutospacing="0" w:after="0" w:afterAutospacing="0" w:line="360" w:lineRule="auto"/>
        <w:ind w:left="0" w:leftChars="0" w:right="0" w:rightChars="0" w:firstLine="0" w:firstLineChars="0"/>
        <w:jc w:val="left"/>
        <w:outlineLvl w:val="0"/>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SA"/>
        </w:rPr>
        <w:t>十、</w:t>
      </w:r>
      <w:r>
        <w:rPr>
          <w:rFonts w:hint="eastAsia" w:ascii="宋体" w:hAnsi="宋体" w:eastAsia="宋体" w:cs="宋体"/>
          <w:b/>
          <w:bCs w:val="0"/>
          <w:kern w:val="2"/>
          <w:sz w:val="24"/>
          <w:szCs w:val="24"/>
          <w:highlight w:val="none"/>
          <w:lang w:val="en-US" w:eastAsia="zh-CN" w:bidi="ar"/>
        </w:rPr>
        <w:t>维保服务要求</w:t>
      </w:r>
    </w:p>
    <w:p w14:paraId="0E8AD0EF">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
        </w:rPr>
        <w:t>承诺提供7*24小时技术支持，包括各种软件系统故障及对各种突发事件采取应急措施等。</w:t>
      </w:r>
    </w:p>
    <w:p w14:paraId="4D3B95A1">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kern w:val="2"/>
          <w:sz w:val="24"/>
          <w:szCs w:val="24"/>
          <w:highlight w:val="none"/>
          <w:lang w:val="en-US" w:eastAsia="zh-CN" w:bidi="ar"/>
        </w:rPr>
        <w:t>提供运维工程师1人。负责处理使用过程中的各项需求及问题。</w:t>
      </w:r>
    </w:p>
    <w:p w14:paraId="3D3696CA">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kern w:val="2"/>
          <w:sz w:val="24"/>
          <w:szCs w:val="24"/>
          <w:highlight w:val="none"/>
          <w:lang w:val="en-US" w:eastAsia="zh-CN" w:bidi="ar"/>
        </w:rPr>
        <w:t>现场服务：根据要求到达现场提供问题解决和支持服务。服务完成后，双方签署现场服务记录。</w:t>
      </w:r>
    </w:p>
    <w:p w14:paraId="3B7FB365">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4.</w:t>
      </w:r>
      <w:r>
        <w:rPr>
          <w:rFonts w:hint="eastAsia" w:ascii="宋体" w:hAnsi="宋体" w:eastAsia="宋体" w:cs="宋体"/>
          <w:kern w:val="2"/>
          <w:sz w:val="24"/>
          <w:szCs w:val="24"/>
          <w:highlight w:val="none"/>
          <w:lang w:val="en-US" w:eastAsia="zh-CN" w:bidi="ar"/>
        </w:rPr>
        <w:t>如遇突发紧急事件，</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方应无条件配合加班。</w:t>
      </w:r>
    </w:p>
    <w:p w14:paraId="5B576659">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5.</w:t>
      </w:r>
      <w:r>
        <w:rPr>
          <w:rFonts w:hint="eastAsia" w:ascii="宋体" w:hAnsi="宋体" w:eastAsia="宋体" w:cs="宋体"/>
          <w:kern w:val="2"/>
          <w:sz w:val="24"/>
          <w:szCs w:val="24"/>
          <w:highlight w:val="none"/>
          <w:lang w:val="en-US" w:eastAsia="zh-CN" w:bidi="ar"/>
        </w:rPr>
        <w:t>办公时间内的免费热线支持与E-mail支持。</w:t>
      </w:r>
    </w:p>
    <w:p w14:paraId="7800D6D1">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6.</w:t>
      </w:r>
      <w:r>
        <w:rPr>
          <w:rFonts w:hint="eastAsia" w:ascii="宋体" w:hAnsi="宋体" w:eastAsia="宋体" w:cs="宋体"/>
          <w:kern w:val="2"/>
          <w:sz w:val="24"/>
          <w:szCs w:val="24"/>
          <w:highlight w:val="none"/>
          <w:lang w:val="en-US" w:eastAsia="zh-CN" w:bidi="ar"/>
        </w:rPr>
        <w:t>远程技术支持：通过网络远程通讯和远程控制的技术手段进行远程现场服务。</w:t>
      </w:r>
    </w:p>
    <w:p w14:paraId="40A77CD3">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7.</w:t>
      </w:r>
      <w:r>
        <w:rPr>
          <w:rFonts w:hint="eastAsia" w:ascii="宋体" w:hAnsi="宋体" w:eastAsia="宋体" w:cs="宋体"/>
          <w:kern w:val="2"/>
          <w:sz w:val="24"/>
          <w:szCs w:val="24"/>
          <w:highlight w:val="none"/>
          <w:lang w:val="en-US" w:eastAsia="zh-CN" w:bidi="ar"/>
        </w:rPr>
        <w:t>维保期内提供免费的系统升级、软件功能修改、与第三方软件接口、系统迁移，以及其他的支持服务；服务年度内</w:t>
      </w:r>
      <w:r>
        <w:rPr>
          <w:rFonts w:hint="eastAsia" w:ascii="宋体" w:hAnsi="宋体" w:cs="宋体"/>
          <w:kern w:val="2"/>
          <w:sz w:val="24"/>
          <w:szCs w:val="24"/>
          <w:highlight w:val="none"/>
          <w:lang w:val="en-US" w:eastAsia="zh-CN" w:bidi="ar"/>
        </w:rPr>
        <w:t>成交</w:t>
      </w:r>
      <w:r>
        <w:rPr>
          <w:rFonts w:hint="eastAsia" w:ascii="宋体" w:hAnsi="宋体" w:eastAsia="宋体" w:cs="宋体"/>
          <w:kern w:val="2"/>
          <w:sz w:val="24"/>
          <w:szCs w:val="24"/>
          <w:highlight w:val="none"/>
          <w:lang w:val="en-US" w:eastAsia="zh-CN" w:bidi="ar"/>
        </w:rPr>
        <w:t>方至少应对系统每季度一次整体检修，多方位排查系统可能存在的潜在故障，以确保系统正常运行。</w:t>
      </w:r>
    </w:p>
    <w:p w14:paraId="064C3A3C">
      <w:pPr>
        <w:keepNext w:val="0"/>
        <w:keepLines w:val="0"/>
        <w:widowControl w:val="0"/>
        <w:numPr>
          <w:ilvl w:val="0"/>
          <w:numId w:val="0"/>
        </w:numPr>
        <w:suppressLineNumbers w:val="0"/>
        <w:autoSpaceDE w:val="0"/>
        <w:autoSpaceDN/>
        <w:spacing w:before="0" w:beforeAutospacing="0" w:after="0" w:afterAutospacing="0" w:line="360" w:lineRule="auto"/>
        <w:ind w:left="840" w:leftChars="0" w:right="0" w:rightChars="0" w:hanging="42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8.</w:t>
      </w:r>
      <w:r>
        <w:rPr>
          <w:rFonts w:hint="eastAsia" w:ascii="宋体" w:hAnsi="宋体" w:eastAsia="宋体" w:cs="宋体"/>
          <w:kern w:val="2"/>
          <w:sz w:val="24"/>
          <w:szCs w:val="24"/>
          <w:highlight w:val="none"/>
          <w:lang w:val="en-US" w:eastAsia="zh-CN" w:bidi="ar"/>
        </w:rPr>
        <w:t>服务响应时间：承诺系统运行出现故障时，迅速提供技术服务，对于各类故障在1小时内做出明确响应和安排，若远程不能解决问题，在7小时内赶到现场。对涉及系统代码、数据库修改等系统实质性内容的修改，在24小时内派人到现场上门服务，排除故障，并分析故障原因，提出书面故障分析报告及防范措施。</w:t>
      </w:r>
    </w:p>
    <w:p w14:paraId="1C2904E8">
      <w:pPr>
        <w:pStyle w:val="7"/>
        <w:keepNext w:val="0"/>
        <w:keepLines w:val="0"/>
        <w:pageBreakBefore w:val="0"/>
        <w:widowControl/>
        <w:numPr>
          <w:ilvl w:val="0"/>
          <w:numId w:val="0"/>
        </w:numPr>
        <w:kinsoku/>
        <w:wordWrap/>
        <w:overflowPunct/>
        <w:topLinePunct w:val="0"/>
        <w:autoSpaceDE/>
        <w:autoSpaceDN/>
        <w:bidi w:val="0"/>
        <w:adjustRightInd/>
        <w:snapToGrid/>
        <w:spacing w:after="0" w:line="360" w:lineRule="auto"/>
        <w:ind w:left="0" w:leftChars="0" w:right="0" w:righ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9.</w:t>
      </w:r>
      <w:r>
        <w:rPr>
          <w:rFonts w:hint="eastAsia" w:ascii="宋体" w:hAnsi="宋体" w:eastAsia="宋体" w:cs="宋体"/>
          <w:kern w:val="2"/>
          <w:sz w:val="24"/>
          <w:szCs w:val="24"/>
          <w:highlight w:val="none"/>
          <w:lang w:val="en-US" w:eastAsia="zh-CN" w:bidi="ar"/>
        </w:rPr>
        <w:t>自系统验收之日起</w:t>
      </w:r>
      <w:r>
        <w:rPr>
          <w:rFonts w:hint="eastAsia" w:ascii="宋体" w:hAnsi="宋体" w:cs="宋体"/>
          <w:kern w:val="2"/>
          <w:sz w:val="24"/>
          <w:szCs w:val="24"/>
          <w:highlight w:val="none"/>
          <w:lang w:val="en-US" w:eastAsia="zh-CN" w:bidi="ar"/>
        </w:rPr>
        <w:t>5年</w:t>
      </w:r>
      <w:r>
        <w:rPr>
          <w:rFonts w:hint="eastAsia" w:ascii="宋体" w:hAnsi="宋体" w:eastAsia="宋体" w:cs="宋体"/>
          <w:kern w:val="2"/>
          <w:sz w:val="24"/>
          <w:szCs w:val="24"/>
          <w:highlight w:val="none"/>
          <w:lang w:val="en-US" w:eastAsia="zh-CN" w:bidi="ar"/>
        </w:rPr>
        <w:t>内，免费提供以上条款中系统维护的服务。</w:t>
      </w:r>
    </w:p>
    <w:p w14:paraId="787974A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p>
    <w:p w14:paraId="4F55948D">
      <w:pPr>
        <w:keepNext w:val="0"/>
        <w:keepLines w:val="0"/>
        <w:pageBreakBefore w:val="0"/>
        <w:widowControl w:val="0"/>
        <w:kinsoku/>
        <w:overflowPunct/>
        <w:topLinePunct w:val="0"/>
        <w:autoSpaceDE/>
        <w:autoSpaceDN/>
        <w:bidi w:val="0"/>
        <w:adjustRightInd/>
        <w:snapToGrid/>
        <w:spacing w:line="360" w:lineRule="auto"/>
        <w:ind w:firstLine="482" w:firstLineChars="200"/>
        <w:jc w:val="both"/>
        <w:textAlignment w:val="auto"/>
        <w:outlineLvl w:val="1"/>
        <w:rPr>
          <w:rFonts w:hint="eastAsia" w:ascii="宋体" w:hAnsi="宋体" w:eastAsia="宋体" w:cs="宋体"/>
          <w:b/>
          <w:bCs w:val="0"/>
          <w:color w:val="auto"/>
          <w:kern w:val="2"/>
          <w:sz w:val="24"/>
          <w:szCs w:val="24"/>
          <w:highlight w:val="none"/>
          <w:lang w:val="en-US" w:eastAsia="zh-CN" w:bidi="ar"/>
        </w:rPr>
      </w:pPr>
      <w:r>
        <w:rPr>
          <w:rFonts w:hint="eastAsia" w:ascii="宋体" w:hAnsi="宋体" w:eastAsia="宋体" w:cs="宋体"/>
          <w:b/>
          <w:bCs w:val="0"/>
          <w:color w:val="auto"/>
          <w:kern w:val="2"/>
          <w:sz w:val="24"/>
          <w:szCs w:val="24"/>
          <w:highlight w:val="none"/>
          <w:lang w:val="en-US" w:eastAsia="zh-CN" w:bidi="ar"/>
        </w:rPr>
        <w:t>备注：本章中</w:t>
      </w:r>
      <w:r>
        <w:rPr>
          <w:rFonts w:hint="eastAsia" w:ascii="宋体" w:hAnsi="宋体" w:cs="宋体"/>
          <w:b/>
          <w:bCs w:val="0"/>
          <w:color w:val="auto"/>
          <w:kern w:val="2"/>
          <w:sz w:val="24"/>
          <w:szCs w:val="24"/>
          <w:highlight w:val="none"/>
          <w:lang w:val="en-US" w:eastAsia="zh-CN" w:bidi="ar"/>
        </w:rPr>
        <w:t>标注</w:t>
      </w:r>
      <w:r>
        <w:rPr>
          <w:rFonts w:hint="eastAsia" w:ascii="宋体" w:hAnsi="宋体" w:eastAsia="宋体" w:cs="宋体"/>
          <w:b/>
          <w:bCs w:val="0"/>
          <w:color w:val="auto"/>
          <w:kern w:val="2"/>
          <w:sz w:val="24"/>
          <w:szCs w:val="24"/>
          <w:highlight w:val="none"/>
          <w:lang w:val="en-US" w:eastAsia="zh-CN" w:bidi="ar"/>
        </w:rPr>
        <w:t>▲的参数为评分项，具体评分细则详见第四章评审办法。其余所有参数及</w:t>
      </w:r>
      <w:r>
        <w:rPr>
          <w:rFonts w:hint="eastAsia" w:ascii="宋体" w:hAnsi="宋体" w:cs="宋体"/>
          <w:b/>
          <w:bCs w:val="0"/>
          <w:color w:val="auto"/>
          <w:kern w:val="2"/>
          <w:sz w:val="24"/>
          <w:szCs w:val="24"/>
          <w:highlight w:val="none"/>
          <w:lang w:val="en-US" w:eastAsia="zh-CN" w:bidi="ar"/>
        </w:rPr>
        <w:t>要求为</w:t>
      </w:r>
      <w:r>
        <w:rPr>
          <w:rFonts w:hint="eastAsia" w:ascii="宋体" w:hAnsi="宋体" w:eastAsia="宋体" w:cs="宋体"/>
          <w:b/>
          <w:bCs w:val="0"/>
          <w:color w:val="auto"/>
          <w:kern w:val="2"/>
          <w:sz w:val="24"/>
          <w:szCs w:val="24"/>
          <w:highlight w:val="none"/>
          <w:lang w:val="en-US" w:eastAsia="zh-CN" w:bidi="ar"/>
        </w:rPr>
        <w:t>必须满足</w:t>
      </w:r>
      <w:r>
        <w:rPr>
          <w:rFonts w:hint="eastAsia" w:ascii="宋体" w:hAnsi="宋体" w:cs="宋体"/>
          <w:b/>
          <w:bCs w:val="0"/>
          <w:color w:val="auto"/>
          <w:kern w:val="2"/>
          <w:sz w:val="24"/>
          <w:szCs w:val="24"/>
          <w:highlight w:val="none"/>
          <w:lang w:val="en-US" w:eastAsia="zh-CN" w:bidi="ar"/>
        </w:rPr>
        <w:t>项</w:t>
      </w:r>
      <w:r>
        <w:rPr>
          <w:rFonts w:hint="eastAsia" w:ascii="宋体" w:hAnsi="宋体" w:eastAsia="宋体" w:cs="宋体"/>
          <w:b/>
          <w:bCs w:val="0"/>
          <w:color w:val="auto"/>
          <w:kern w:val="2"/>
          <w:sz w:val="24"/>
          <w:szCs w:val="24"/>
          <w:highlight w:val="none"/>
          <w:lang w:val="en-US" w:eastAsia="zh-CN" w:bidi="ar"/>
        </w:rPr>
        <w:t>，不得负偏离，否则做无效参选处理。</w:t>
      </w:r>
    </w:p>
    <w:p w14:paraId="6CA9ADB7">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35655A"/>
    <w:rsid w:val="7F356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customStyle="1" w:styleId="6">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styleId="7">
    <w:name w:val="List Paragraph"/>
    <w:basedOn w:val="1"/>
    <w:qFormat/>
    <w:uiPriority w:val="34"/>
    <w:pPr>
      <w:spacing w:line="240" w:lineRule="auto"/>
      <w:ind w:firstLine="420" w:firstLineChars="200"/>
      <w:jc w:val="both"/>
    </w:pPr>
    <w:rPr>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2026-10-22T11:22:00Z</dcterms:created>
  <dc:creator>省招-wxy</dc:creator>
  <cp:lastModifiedBy>省招-wxy</cp:lastModifiedBy>
  <dcterms:modified xsi:type="dcterms:W3CDTF">2026-10-22T11:30:35Z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41A9CA7DEF7E4867A1A07B37E5363E85_11</vt:lpwstr>
  </property>
  <property fmtid="{D5CDD505-2E9C-101B-9397-08002B2CF9AE}" pid="4" name="KSOTemplateDocerSaveRecord">
    <vt:lpwstr>eyJoZGlkIjoiZWUyOTQ1NDM2Zjc0YjU0MjZhMWI3YTAyMzgxNTM2MDQiLCJ1c2VySWQiOiI0NjEyMTI0ODEifQ==</vt:lpwstr>
  </property>
</Properties>
</file>