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0" w:firstLineChars="200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参数要求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eastAsia="zh-CN"/>
        </w:rPr>
        <w:t>必须具备有效的营业执照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安装改造维修许可证及人员有效证件。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2、实施维保后的电梯应符合安全技术规范、强制性标准和电梯制造单位的技术要求。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维保单位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应在电梯使用标志所标注的下次检验日期届满前１个月，向特种设备检验机构提出定期检验申请。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3、提供24小时的紧急救援服务，当电梯发生困人故障，应在接到甲方通知后30分钟内赶赴现场实施紧急救援；电梯发生其他故障，应在接到甲方通知后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分钟内赶到现场实施抢修。</w:t>
      </w:r>
    </w:p>
    <w:p>
      <w:pPr>
        <w:spacing w:line="460" w:lineRule="exact"/>
        <w:ind w:left="1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现场作业人员</w:t>
      </w:r>
      <w:r>
        <w:rPr>
          <w:rFonts w:hint="eastAsia" w:ascii="仿宋_GB2312" w:hAnsi="_x000B_" w:eastAsia="仿宋_GB2312" w:cs="宋体"/>
          <w:kern w:val="0"/>
          <w:sz w:val="28"/>
          <w:szCs w:val="28"/>
        </w:rPr>
        <w:t>应当取得相应的《特种设备作业人员证》。</w:t>
      </w:r>
      <w:r>
        <w:rPr>
          <w:rFonts w:hint="eastAsia" w:ascii="仿宋_GB2312" w:eastAsia="仿宋_GB2312"/>
          <w:sz w:val="28"/>
          <w:szCs w:val="28"/>
        </w:rPr>
        <w:t>为有效实施保养计划，应安排熟悉所维保电梯原理、结构、性能、安全要求的特种设备作业人员负责维保工作，并督促其严格按照产品工艺要求、安全及技术规范进行维保。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、不得以任何形式将维保工作非法分包、转包。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3317"/>
    <w:rsid w:val="277E1910"/>
    <w:rsid w:val="36F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张劲松</cp:lastModifiedBy>
  <dcterms:modified xsi:type="dcterms:W3CDTF">2018-04-16T05:44:58Z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