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9"/>
        <w:tblpPr w:leftFromText="180" w:rightFromText="180" w:vertAnchor="text" w:horzAnchor="page" w:tblpX="1183" w:tblpY="274"/>
        <w:tblOverlap w:val="never"/>
        <w:tblW w:w="0" w:type="auto"/>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463"/>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452" w:hRule="atLeast"/>
        </w:trPr>
        <w:tc>
          <w:tcPr>
            <w:tcW w:w="5463" w:type="dxa"/>
            <w:tcBorders>
              <w:tl2br w:val="nil"/>
              <w:tr2bl w:val="nil"/>
            </w:tcBorders>
            <w:noWrap/>
            <w:vAlign w:val="bottom"/>
          </w:tcPr>
          <w:p>
            <w:pPr>
              <w:widowControl/>
              <w:adjustRightInd w:val="0"/>
              <w:snapToGrid w:val="0"/>
              <w:jc w:val="left"/>
              <w:rPr>
                <w:rFonts w:ascii="楷体_GB2312" w:hAnsi="宋体" w:eastAsia="楷体_GB2312" w:cs="宋体"/>
                <w:b/>
                <w:bCs/>
                <w:color w:val="auto"/>
                <w:kern w:val="0"/>
                <w:sz w:val="18"/>
                <w:szCs w:val="18"/>
                <w:highlight w:val="none"/>
              </w:rPr>
            </w:pPr>
            <w:r>
              <w:rPr>
                <w:rFonts w:hint="eastAsia" w:ascii="楷体_GB2312" w:hAnsi="宋体" w:eastAsia="楷体_GB2312" w:cs="宋体"/>
                <w:b/>
                <w:bCs/>
                <w:color w:val="auto"/>
                <w:kern w:val="0"/>
                <w:sz w:val="18"/>
                <w:szCs w:val="18"/>
                <w:highlight w:val="none"/>
              </w:rPr>
              <w:t>合同编号：</w:t>
            </w:r>
            <w:r>
              <w:rPr>
                <w:rFonts w:hint="eastAsia" w:ascii="黑体" w:hAnsi="黑体" w:eastAsia="黑体" w:cs="黑体"/>
                <w:b/>
                <w:bCs/>
                <w:color w:val="auto"/>
                <w:kern w:val="0"/>
                <w:sz w:val="18"/>
                <w:szCs w:val="18"/>
                <w:highlight w:val="none"/>
              </w:rPr>
              <w:t>ZCZX</w:t>
            </w:r>
            <w:r>
              <w:rPr>
                <w:rFonts w:hint="eastAsia" w:ascii="黑体" w:hAnsi="黑体" w:eastAsia="黑体" w:cs="黑体"/>
                <w:b/>
                <w:bCs/>
                <w:color w:val="auto"/>
                <w:kern w:val="0"/>
                <w:sz w:val="18"/>
                <w:szCs w:val="18"/>
                <w:highlight w:val="none"/>
                <w:lang w:val="en-US" w:eastAsia="zh-CN"/>
              </w:rPr>
              <w:fldChar w:fldCharType="begin"/>
            </w:r>
            <w:r>
              <w:rPr>
                <w:rFonts w:hint="eastAsia" w:ascii="黑体" w:hAnsi="黑体" w:eastAsia="黑体" w:cs="黑体"/>
                <w:b/>
                <w:bCs/>
                <w:color w:val="auto"/>
                <w:kern w:val="0"/>
                <w:sz w:val="18"/>
                <w:szCs w:val="18"/>
                <w:highlight w:val="none"/>
                <w:lang w:val="en-US" w:eastAsia="zh-CN"/>
              </w:rPr>
              <w:instrText xml:space="preserve"> Time \@ "yyyy </w:instrText>
            </w:r>
            <w:r>
              <w:rPr>
                <w:rFonts w:hint="eastAsia" w:ascii="黑体" w:hAnsi="黑体" w:eastAsia="黑体" w:cs="黑体"/>
                <w:b/>
                <w:bCs/>
                <w:color w:val="auto"/>
                <w:kern w:val="0"/>
                <w:sz w:val="18"/>
                <w:szCs w:val="18"/>
                <w:highlight w:val="none"/>
                <w:lang w:val="en-US" w:eastAsia="zh-CN"/>
              </w:rPr>
              <w:fldChar w:fldCharType="separate"/>
            </w:r>
            <w:r>
              <w:rPr>
                <w:rFonts w:hint="eastAsia" w:ascii="黑体" w:hAnsi="黑体" w:eastAsia="黑体" w:cs="黑体"/>
                <w:b/>
                <w:bCs/>
                <w:color w:val="auto"/>
                <w:kern w:val="0"/>
                <w:sz w:val="18"/>
                <w:szCs w:val="18"/>
                <w:highlight w:val="none"/>
                <w:lang w:val="en-US" w:eastAsia="zh-CN"/>
              </w:rPr>
              <w:t xml:space="preserve">2024 </w:t>
            </w:r>
            <w:r>
              <w:rPr>
                <w:rFonts w:hint="eastAsia" w:ascii="黑体" w:hAnsi="黑体" w:eastAsia="黑体" w:cs="黑体"/>
                <w:b/>
                <w:bCs/>
                <w:color w:val="auto"/>
                <w:kern w:val="0"/>
                <w:sz w:val="18"/>
                <w:szCs w:val="18"/>
                <w:highlight w:val="none"/>
                <w:lang w:val="en-US" w:eastAsia="zh-CN"/>
              </w:rPr>
              <w:fldChar w:fldCharType="end"/>
            </w:r>
            <w:r>
              <w:rPr>
                <w:rFonts w:hint="eastAsia" w:ascii="黑体" w:hAnsi="黑体" w:eastAsia="黑体" w:cs="黑体"/>
                <w:b/>
                <w:bCs/>
                <w:color w:val="auto"/>
                <w:kern w:val="0"/>
                <w:sz w:val="18"/>
                <w:szCs w:val="18"/>
                <w:highlight w:val="none"/>
              </w:rPr>
              <w:t>_______</w:t>
            </w:r>
          </w:p>
          <w:p>
            <w:pPr>
              <w:widowControl/>
              <w:adjustRightInd w:val="0"/>
              <w:snapToGrid w:val="0"/>
              <w:jc w:val="left"/>
              <w:rPr>
                <w:rFonts w:hint="eastAsia" w:ascii="楷体_GB2312" w:hAnsi="宋体" w:eastAsia="楷体_GB2312" w:cs="宋体"/>
                <w:b/>
                <w:bCs/>
                <w:color w:val="auto"/>
                <w:kern w:val="0"/>
                <w:sz w:val="18"/>
                <w:szCs w:val="18"/>
                <w:highlight w:val="none"/>
              </w:rPr>
            </w:pPr>
            <w:r>
              <w:rPr>
                <w:rFonts w:hint="eastAsia" w:ascii="楷体_GB2312" w:hAnsi="宋体" w:eastAsia="楷体_GB2312" w:cs="宋体"/>
                <w:b/>
                <w:bCs/>
                <w:color w:val="auto"/>
                <w:kern w:val="0"/>
                <w:sz w:val="18"/>
                <w:szCs w:val="18"/>
                <w:highlight w:val="none"/>
              </w:rPr>
              <w:t>计划类别：</w:t>
            </w:r>
          </w:p>
          <w:p>
            <w:pPr>
              <w:adjustRightInd w:val="0"/>
              <w:snapToGrid w:val="0"/>
              <w:jc w:val="left"/>
              <w:rPr>
                <w:rFonts w:hint="eastAsia" w:ascii="楷体_GB2312" w:hAnsi="宋体" w:eastAsia="楷体_GB2312" w:cs="宋体"/>
                <w:b/>
                <w:bCs/>
                <w:color w:val="auto"/>
                <w:kern w:val="0"/>
                <w:sz w:val="18"/>
                <w:szCs w:val="18"/>
                <w:highlight w:val="none"/>
              </w:rPr>
            </w:pPr>
            <w:r>
              <w:rPr>
                <w:rFonts w:hint="eastAsia" w:ascii="楷体_GB2312" w:hAnsi="宋体" w:eastAsia="楷体_GB2312" w:cs="宋体"/>
                <w:b/>
                <w:bCs/>
                <w:color w:val="auto"/>
                <w:kern w:val="0"/>
                <w:sz w:val="18"/>
                <w:szCs w:val="18"/>
                <w:highlight w:val="none"/>
              </w:rPr>
              <w:t>采购方式：</w:t>
            </w:r>
          </w:p>
          <w:p>
            <w:pPr>
              <w:adjustRightInd w:val="0"/>
              <w:snapToGrid w:val="0"/>
              <w:jc w:val="left"/>
              <w:rPr>
                <w:rFonts w:hint="eastAsia" w:ascii="楷体_GB2312" w:hAnsi="宋体" w:eastAsia="楷体_GB2312" w:cs="宋体"/>
                <w:b/>
                <w:bCs/>
                <w:color w:val="auto"/>
                <w:kern w:val="0"/>
                <w:sz w:val="18"/>
                <w:szCs w:val="18"/>
                <w:highlight w:val="none"/>
              </w:rPr>
            </w:pPr>
            <w:r>
              <w:rPr>
                <w:rFonts w:hint="eastAsia" w:ascii="楷体_GB2312" w:hAnsi="宋体" w:eastAsia="楷体_GB2312" w:cs="宋体"/>
                <w:b/>
                <w:bCs/>
                <w:color w:val="auto"/>
                <w:kern w:val="0"/>
                <w:sz w:val="18"/>
                <w:szCs w:val="18"/>
                <w:highlight w:val="none"/>
              </w:rPr>
              <w:t>计划编号：</w:t>
            </w:r>
          </w:p>
          <w:p>
            <w:pPr>
              <w:adjustRightInd w:val="0"/>
              <w:snapToGrid w:val="0"/>
              <w:jc w:val="left"/>
              <w:rPr>
                <w:rFonts w:hint="eastAsia" w:ascii="楷体_GB2312" w:hAnsi="宋体" w:eastAsia="楷体_GB2312" w:cs="宋体"/>
                <w:b/>
                <w:bCs/>
                <w:color w:val="auto"/>
                <w:kern w:val="0"/>
                <w:sz w:val="18"/>
                <w:szCs w:val="18"/>
                <w:highlight w:val="none"/>
              </w:rPr>
            </w:pPr>
            <w:r>
              <w:rPr>
                <w:rFonts w:hint="eastAsia" w:ascii="楷体_GB2312" w:hAnsi="宋体" w:eastAsia="楷体_GB2312" w:cs="宋体"/>
                <w:b/>
                <w:bCs/>
                <w:color w:val="auto"/>
                <w:kern w:val="0"/>
                <w:sz w:val="18"/>
                <w:szCs w:val="18"/>
                <w:highlight w:val="none"/>
              </w:rPr>
              <w:t>申请科室：</w:t>
            </w:r>
          </w:p>
          <w:p>
            <w:pPr>
              <w:adjustRightInd w:val="0"/>
              <w:snapToGrid w:val="0"/>
              <w:jc w:val="left"/>
              <w:rPr>
                <w:rFonts w:hint="eastAsia" w:ascii="楷体_GB2312" w:hAnsi="宋体" w:eastAsia="楷体_GB2312" w:cs="宋体"/>
                <w:b/>
                <w:bCs/>
                <w:color w:val="auto"/>
                <w:kern w:val="0"/>
                <w:sz w:val="18"/>
                <w:szCs w:val="18"/>
                <w:highlight w:val="none"/>
              </w:rPr>
            </w:pPr>
            <w:r>
              <w:rPr>
                <w:rFonts w:hint="eastAsia" w:ascii="楷体_GB2312" w:hAnsi="宋体" w:eastAsia="楷体_GB2312" w:cs="宋体"/>
                <w:b/>
                <w:bCs/>
                <w:color w:val="auto"/>
                <w:kern w:val="0"/>
                <w:sz w:val="18"/>
                <w:szCs w:val="18"/>
                <w:highlight w:val="none"/>
              </w:rPr>
              <w:t>移交部门：</w:t>
            </w:r>
          </w:p>
          <w:p>
            <w:pPr>
              <w:adjustRightInd w:val="0"/>
              <w:snapToGrid w:val="0"/>
              <w:rPr>
                <w:rFonts w:hint="eastAsia" w:ascii="楷体_GB2312" w:hAnsi="宋体" w:eastAsia="楷体_GB2312" w:cs="宋体"/>
                <w:b/>
                <w:bCs/>
                <w:color w:val="auto"/>
                <w:kern w:val="0"/>
                <w:sz w:val="18"/>
                <w:szCs w:val="18"/>
                <w:highlight w:val="none"/>
              </w:rPr>
            </w:pPr>
            <w:r>
              <w:rPr>
                <w:rFonts w:hint="eastAsia" w:ascii="楷体_GB2312" w:hAnsi="宋体" w:eastAsia="楷体_GB2312" w:cs="宋体"/>
                <w:b/>
                <w:bCs/>
                <w:color w:val="auto"/>
                <w:kern w:val="0"/>
                <w:sz w:val="18"/>
                <w:szCs w:val="18"/>
                <w:highlight w:val="none"/>
                <w:lang w:val="en-US" w:eastAsia="zh-CN"/>
              </w:rPr>
              <w:t>开标</w:t>
            </w:r>
            <w:r>
              <w:rPr>
                <w:rFonts w:hint="eastAsia" w:ascii="楷体_GB2312" w:hAnsi="宋体" w:eastAsia="楷体_GB2312" w:cs="宋体"/>
                <w:b/>
                <w:bCs/>
                <w:color w:val="auto"/>
                <w:kern w:val="0"/>
                <w:sz w:val="18"/>
                <w:szCs w:val="18"/>
                <w:highlight w:val="none"/>
                <w:lang w:eastAsia="zh-CN"/>
              </w:rPr>
              <w:t>（</w:t>
            </w:r>
            <w:r>
              <w:rPr>
                <w:rFonts w:hint="eastAsia" w:ascii="楷体_GB2312" w:hAnsi="宋体" w:eastAsia="楷体_GB2312" w:cs="宋体"/>
                <w:b/>
                <w:bCs/>
                <w:color w:val="auto"/>
                <w:kern w:val="0"/>
                <w:sz w:val="18"/>
                <w:szCs w:val="18"/>
                <w:highlight w:val="none"/>
                <w:lang w:val="en-US" w:eastAsia="zh-CN"/>
              </w:rPr>
              <w:t>或</w:t>
            </w:r>
            <w:r>
              <w:rPr>
                <w:rFonts w:hint="eastAsia" w:ascii="楷体_GB2312" w:hAnsi="宋体" w:eastAsia="楷体_GB2312" w:cs="宋体"/>
                <w:b/>
                <w:bCs/>
                <w:color w:val="auto"/>
                <w:kern w:val="0"/>
                <w:sz w:val="18"/>
                <w:szCs w:val="18"/>
                <w:highlight w:val="none"/>
              </w:rPr>
              <w:t>比选</w:t>
            </w:r>
            <w:r>
              <w:rPr>
                <w:rFonts w:hint="eastAsia" w:ascii="楷体_GB2312" w:hAnsi="宋体" w:eastAsia="楷体_GB2312" w:cs="宋体"/>
                <w:b/>
                <w:bCs/>
                <w:color w:val="auto"/>
                <w:kern w:val="0"/>
                <w:sz w:val="18"/>
                <w:szCs w:val="18"/>
                <w:highlight w:val="none"/>
                <w:lang w:eastAsia="zh-CN"/>
              </w:rPr>
              <w:t>）</w:t>
            </w:r>
            <w:r>
              <w:rPr>
                <w:rFonts w:hint="eastAsia" w:ascii="楷体_GB2312" w:hAnsi="宋体" w:eastAsia="楷体_GB2312" w:cs="宋体"/>
                <w:b/>
                <w:bCs/>
                <w:color w:val="auto"/>
                <w:kern w:val="0"/>
                <w:sz w:val="18"/>
                <w:szCs w:val="18"/>
                <w:highlight w:val="none"/>
              </w:rPr>
              <w:t>/</w:t>
            </w:r>
            <w:r>
              <w:rPr>
                <w:rFonts w:hint="eastAsia" w:ascii="楷体_GB2312" w:hAnsi="宋体" w:eastAsia="楷体_GB2312" w:cs="宋体"/>
                <w:b/>
                <w:bCs/>
                <w:color w:val="auto"/>
                <w:kern w:val="0"/>
                <w:sz w:val="18"/>
                <w:szCs w:val="18"/>
                <w:highlight w:val="none"/>
                <w:lang w:val="en-US" w:eastAsia="zh-CN"/>
              </w:rPr>
              <w:t>技术交流（或谈判）</w:t>
            </w:r>
            <w:r>
              <w:rPr>
                <w:rFonts w:hint="eastAsia" w:ascii="楷体_GB2312" w:hAnsi="宋体" w:eastAsia="楷体_GB2312" w:cs="宋体"/>
                <w:b/>
                <w:bCs/>
                <w:color w:val="auto"/>
                <w:kern w:val="0"/>
                <w:sz w:val="18"/>
                <w:szCs w:val="18"/>
                <w:highlight w:val="none"/>
              </w:rPr>
              <w:t>日期：</w:t>
            </w:r>
          </w:p>
          <w:p>
            <w:pPr>
              <w:adjustRightInd w:val="0"/>
              <w:snapToGrid w:val="0"/>
              <w:rPr>
                <w:rFonts w:ascii="宋体" w:hAnsi="宋体"/>
                <w:color w:val="auto"/>
                <w:sz w:val="24"/>
                <w:highlight w:val="none"/>
              </w:rPr>
            </w:pPr>
            <w:r>
              <w:rPr>
                <w:rFonts w:hint="eastAsia" w:ascii="楷体_GB2312" w:hAnsi="宋体" w:eastAsia="楷体_GB2312" w:cs="宋体"/>
                <w:b/>
                <w:bCs/>
                <w:color w:val="auto"/>
                <w:kern w:val="0"/>
                <w:sz w:val="18"/>
                <w:szCs w:val="18"/>
                <w:highlight w:val="none"/>
              </w:rPr>
              <w:t xml:space="preserve">是否已按三重一大事项上办公会： 是 </w:t>
            </w:r>
            <w:r>
              <w:rPr>
                <w:rFonts w:hint="eastAsia" w:ascii="宋体" w:hAnsi="宋体"/>
                <w:color w:val="auto"/>
                <w:szCs w:val="21"/>
                <w:highlight w:val="none"/>
              </w:rPr>
              <w:t>□</w:t>
            </w:r>
            <w:r>
              <w:rPr>
                <w:rFonts w:hint="eastAsia" w:ascii="楷体_GB2312" w:hAnsi="宋体" w:eastAsia="楷体_GB2312" w:cs="宋体"/>
                <w:b/>
                <w:bCs/>
                <w:color w:val="auto"/>
                <w:kern w:val="0"/>
                <w:sz w:val="18"/>
                <w:szCs w:val="18"/>
                <w:highlight w:val="none"/>
              </w:rPr>
              <w:t xml:space="preserve">   否</w:t>
            </w:r>
            <w:r>
              <w:rPr>
                <w:rFonts w:hint="eastAsia" w:ascii="宋体" w:hAnsi="宋体"/>
                <w:color w:val="auto"/>
                <w:szCs w:val="21"/>
                <w:highlight w:val="none"/>
              </w:rPr>
              <w:t>□</w:t>
            </w:r>
          </w:p>
        </w:tc>
      </w:tr>
    </w:tbl>
    <w:p>
      <w:pPr>
        <w:spacing w:line="360" w:lineRule="auto"/>
        <w:jc w:val="center"/>
        <w:rPr>
          <w:rFonts w:hint="eastAsia" w:ascii="宋体" w:hAnsi="宋体" w:eastAsia="宋体"/>
          <w:b/>
          <w:color w:val="auto"/>
          <w:sz w:val="32"/>
          <w:szCs w:val="32"/>
          <w:highlight w:val="none"/>
        </w:rPr>
      </w:pPr>
    </w:p>
    <w:p>
      <w:pPr>
        <w:spacing w:line="360" w:lineRule="auto"/>
        <w:jc w:val="center"/>
        <w:rPr>
          <w:rFonts w:hint="eastAsia"/>
          <w:b/>
          <w:color w:val="auto"/>
          <w:kern w:val="11"/>
          <w:sz w:val="48"/>
          <w:szCs w:val="48"/>
          <w:highlight w:val="none"/>
        </w:rPr>
      </w:pPr>
    </w:p>
    <w:p>
      <w:pPr>
        <w:spacing w:line="360" w:lineRule="auto"/>
        <w:jc w:val="center"/>
        <w:rPr>
          <w:rFonts w:hint="eastAsia"/>
          <w:b/>
          <w:color w:val="auto"/>
          <w:kern w:val="11"/>
          <w:sz w:val="48"/>
          <w:szCs w:val="48"/>
          <w:highlight w:val="none"/>
        </w:rPr>
      </w:pPr>
    </w:p>
    <w:p>
      <w:pPr>
        <w:spacing w:line="360" w:lineRule="auto"/>
        <w:jc w:val="center"/>
        <w:rPr>
          <w:rFonts w:hint="eastAsia"/>
          <w:b/>
          <w:color w:val="auto"/>
          <w:kern w:val="11"/>
          <w:sz w:val="48"/>
          <w:szCs w:val="48"/>
          <w:highlight w:val="none"/>
        </w:rPr>
      </w:pPr>
    </w:p>
    <w:p>
      <w:pPr>
        <w:spacing w:line="360" w:lineRule="exact"/>
        <w:jc w:val="center"/>
        <w:rPr>
          <w:rFonts w:ascii="华文行楷" w:eastAsia="华文行楷"/>
          <w:b/>
          <w:color w:val="auto"/>
          <w:sz w:val="30"/>
          <w:szCs w:val="30"/>
          <w:highlight w:val="none"/>
        </w:rPr>
      </w:pPr>
      <w:r>
        <w:rPr>
          <w:rFonts w:hint="eastAsia" w:ascii="华文行楷" w:eastAsia="华文行楷"/>
          <w:b/>
          <w:color w:val="auto"/>
          <w:sz w:val="30"/>
          <w:szCs w:val="30"/>
          <w:highlight w:val="none"/>
        </w:rPr>
        <w:t>中国科大附一院（安徽省立医院）</w:t>
      </w:r>
    </w:p>
    <w:p>
      <w:pPr>
        <w:widowControl/>
        <w:spacing w:line="360" w:lineRule="auto"/>
        <w:jc w:val="center"/>
        <w:rPr>
          <w:color w:val="auto"/>
          <w:highlight w:val="none"/>
        </w:rPr>
      </w:pPr>
      <w:r>
        <w:rPr>
          <w:rFonts w:hint="eastAsia" w:ascii="华文行楷" w:eastAsia="华文行楷"/>
          <w:b/>
          <w:color w:val="auto"/>
          <w:sz w:val="30"/>
          <w:szCs w:val="30"/>
          <w:highlight w:val="none"/>
          <w:lang w:val="en-US" w:eastAsia="zh-CN"/>
        </w:rPr>
        <w:t>维 保 服 务</w:t>
      </w:r>
      <w:r>
        <w:rPr>
          <w:rFonts w:hint="eastAsia" w:ascii="华文行楷" w:eastAsia="华文行楷"/>
          <w:b/>
          <w:color w:val="auto"/>
          <w:sz w:val="30"/>
          <w:szCs w:val="30"/>
          <w:highlight w:val="none"/>
        </w:rPr>
        <w:t xml:space="preserve"> 购 销 合 同</w:t>
      </w:r>
    </w:p>
    <w:p>
      <w:pPr>
        <w:rPr>
          <w:rFonts w:hint="eastAsia" w:ascii="宋体" w:hAnsi="宋体"/>
          <w:color w:val="auto"/>
          <w:sz w:val="24"/>
          <w:highlight w:val="none"/>
        </w:rPr>
      </w:pPr>
      <w:r>
        <w:rPr>
          <w:rFonts w:hint="eastAsia" w:ascii="宋体" w:hAnsi="宋体"/>
          <w:color w:val="auto"/>
          <w:sz w:val="24"/>
          <w:highlight w:val="none"/>
        </w:rPr>
        <w:t>甲方：</w:t>
      </w:r>
      <w:r>
        <w:rPr>
          <w:rFonts w:hint="eastAsia" w:ascii="楷体_GB2312" w:hAnsi="宋体" w:eastAsia="楷体_GB2312"/>
          <w:b/>
          <w:color w:val="auto"/>
          <w:sz w:val="24"/>
          <w:highlight w:val="none"/>
        </w:rPr>
        <w:t>中国科大附一院（安徽省立医院）</w:t>
      </w:r>
    </w:p>
    <w:p>
      <w:pPr>
        <w:rPr>
          <w:rFonts w:hint="eastAsia" w:ascii="宋体" w:hAnsi="宋体" w:eastAsia="宋体"/>
          <w:color w:val="auto"/>
          <w:szCs w:val="21"/>
          <w:highlight w:val="none"/>
        </w:rPr>
      </w:pPr>
      <w:r>
        <w:rPr>
          <w:rFonts w:hint="eastAsia" w:ascii="宋体" w:hAnsi="宋体"/>
          <w:color w:val="auto"/>
          <w:sz w:val="24"/>
          <w:highlight w:val="none"/>
        </w:rPr>
        <w:t>乙方：</w:t>
      </w:r>
    </w:p>
    <w:p>
      <w:pPr>
        <w:pStyle w:val="15"/>
        <w:keepNext w:val="0"/>
        <w:keepLines w:val="0"/>
        <w:pageBreakBefore w:val="0"/>
        <w:widowControl/>
        <w:kinsoku/>
        <w:wordWrap/>
        <w:overflowPunct/>
        <w:topLinePunct w:val="0"/>
        <w:autoSpaceDE/>
        <w:autoSpaceDN/>
        <w:bidi w:val="0"/>
        <w:adjustRightInd/>
        <w:snapToGrid/>
        <w:spacing w:line="240" w:lineRule="auto"/>
        <w:textAlignment w:val="auto"/>
        <w:rPr>
          <w:rFonts w:hint="eastAsia" w:cs="宋体"/>
          <w:b/>
          <w:color w:val="auto"/>
          <w:szCs w:val="21"/>
          <w:highlight w:val="none"/>
          <w:lang w:bidi="ar"/>
        </w:rPr>
      </w:pPr>
      <w:r>
        <w:rPr>
          <w:rFonts w:hint="eastAsia" w:ascii="宋体" w:hAnsi="宋体" w:eastAsia="宋体"/>
          <w:color w:val="auto"/>
          <w:szCs w:val="21"/>
          <w:highlight w:val="none"/>
        </w:rPr>
        <w:t>依据相关法律规定和招标采购结果，甲方双方经友好协商一致，现就相关维保服务签订本合同。</w:t>
      </w:r>
    </w:p>
    <w:p>
      <w:pPr>
        <w:numPr>
          <w:ilvl w:val="0"/>
          <w:numId w:val="1"/>
        </w:numPr>
        <w:ind w:firstLine="422"/>
        <w:rPr>
          <w:color w:val="auto"/>
          <w:highlight w:val="none"/>
        </w:rPr>
      </w:pPr>
      <w:r>
        <w:rPr>
          <w:rFonts w:hint="eastAsia" w:cs="宋体"/>
          <w:b/>
          <w:color w:val="auto"/>
          <w:szCs w:val="21"/>
          <w:highlight w:val="none"/>
          <w:lang w:bidi="ar"/>
        </w:rPr>
        <w:t>项目情况（金额单位：</w:t>
      </w:r>
      <w:r>
        <w:rPr>
          <w:rFonts w:hint="eastAsia"/>
          <w:b/>
          <w:color w:val="auto"/>
          <w:szCs w:val="21"/>
          <w:highlight w:val="none"/>
          <w:u w:val="single"/>
        </w:rPr>
        <w:t xml:space="preserve">  元</w:t>
      </w:r>
      <w:r>
        <w:rPr>
          <w:rFonts w:hint="eastAsia" w:cs="宋体"/>
          <w:b/>
          <w:color w:val="auto"/>
          <w:szCs w:val="21"/>
          <w:highlight w:val="none"/>
          <w:lang w:bidi="ar"/>
        </w:rPr>
        <w:t>）</w:t>
      </w:r>
    </w:p>
    <w:tbl>
      <w:tblPr>
        <w:tblStyle w:val="9"/>
        <w:tblW w:w="96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4"/>
        <w:gridCol w:w="1723"/>
        <w:gridCol w:w="1254"/>
        <w:gridCol w:w="896"/>
        <w:gridCol w:w="1317"/>
        <w:gridCol w:w="883"/>
        <w:gridCol w:w="1150"/>
        <w:gridCol w:w="715"/>
        <w:gridCol w:w="10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jc w:val="center"/>
        </w:trPr>
        <w:tc>
          <w:tcPr>
            <w:tcW w:w="2417" w:type="dxa"/>
            <w:gridSpan w:val="2"/>
            <w:vAlign w:val="center"/>
          </w:tcPr>
          <w:p>
            <w:pPr>
              <w:keepNext w:val="0"/>
              <w:keepLines w:val="0"/>
              <w:pageBreakBefore w:val="0"/>
              <w:widowControl w:val="0"/>
              <w:kinsoku/>
              <w:wordWrap/>
              <w:overflowPunct/>
              <w:topLinePunct w:val="0"/>
              <w:autoSpaceDE/>
              <w:autoSpaceDN/>
              <w:bidi w:val="0"/>
              <w:adjustRightInd/>
              <w:snapToGrid/>
              <w:spacing w:line="260" w:lineRule="exact"/>
              <w:ind w:firstLine="0" w:firstLineChars="0"/>
              <w:jc w:val="center"/>
              <w:textAlignment w:val="auto"/>
              <w:rPr>
                <w:rFonts w:ascii="黑体" w:hAnsi="黑体" w:eastAsia="黑体" w:cs="Times New Roman"/>
                <w:color w:val="auto"/>
                <w:szCs w:val="21"/>
                <w:highlight w:val="none"/>
              </w:rPr>
            </w:pPr>
            <w:r>
              <w:rPr>
                <w:rFonts w:hint="eastAsia" w:ascii="黑体" w:hAnsi="黑体" w:eastAsia="黑体" w:cs="Times New Roman"/>
                <w:color w:val="auto"/>
                <w:szCs w:val="21"/>
                <w:highlight w:val="none"/>
              </w:rPr>
              <w:t>项目招标名称</w:t>
            </w:r>
          </w:p>
        </w:tc>
        <w:tc>
          <w:tcPr>
            <w:tcW w:w="7276" w:type="dxa"/>
            <w:gridSpan w:val="7"/>
            <w:vAlign w:val="center"/>
          </w:tcPr>
          <w:p>
            <w:pPr>
              <w:keepNext w:val="0"/>
              <w:keepLines w:val="0"/>
              <w:pageBreakBefore w:val="0"/>
              <w:widowControl w:val="0"/>
              <w:kinsoku/>
              <w:wordWrap/>
              <w:overflowPunct/>
              <w:topLinePunct w:val="0"/>
              <w:autoSpaceDE/>
              <w:autoSpaceDN/>
              <w:bidi w:val="0"/>
              <w:adjustRightInd/>
              <w:snapToGrid/>
              <w:spacing w:line="260" w:lineRule="exact"/>
              <w:ind w:firstLine="0" w:firstLineChars="0"/>
              <w:jc w:val="center"/>
              <w:textAlignment w:val="auto"/>
              <w:rPr>
                <w:rFonts w:cs="Times New Roman"/>
                <w:color w:val="auto"/>
                <w:szCs w:val="21"/>
                <w:highlight w:val="none"/>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694" w:type="dxa"/>
            <w:vAlign w:val="center"/>
          </w:tcPr>
          <w:p>
            <w:pPr>
              <w:keepNext w:val="0"/>
              <w:keepLines w:val="0"/>
              <w:pageBreakBefore w:val="0"/>
              <w:widowControl w:val="0"/>
              <w:kinsoku/>
              <w:wordWrap/>
              <w:overflowPunct/>
              <w:topLinePunct w:val="0"/>
              <w:autoSpaceDE/>
              <w:autoSpaceDN/>
              <w:bidi w:val="0"/>
              <w:adjustRightInd/>
              <w:snapToGrid/>
              <w:spacing w:line="260" w:lineRule="exact"/>
              <w:ind w:firstLine="0" w:firstLineChars="0"/>
              <w:jc w:val="center"/>
              <w:textAlignment w:val="auto"/>
              <w:rPr>
                <w:rFonts w:ascii="黑体" w:hAnsi="黑体" w:eastAsia="黑体" w:cs="Times New Roman"/>
                <w:color w:val="auto"/>
                <w:szCs w:val="21"/>
                <w:highlight w:val="none"/>
              </w:rPr>
            </w:pPr>
            <w:r>
              <w:rPr>
                <w:rFonts w:hint="eastAsia" w:ascii="黑体" w:hAnsi="黑体" w:eastAsia="黑体" w:cs="Times New Roman"/>
                <w:color w:val="auto"/>
                <w:szCs w:val="21"/>
                <w:highlight w:val="none"/>
              </w:rPr>
              <w:t>序号</w:t>
            </w:r>
          </w:p>
        </w:tc>
        <w:tc>
          <w:tcPr>
            <w:tcW w:w="1723" w:type="dxa"/>
            <w:vAlign w:val="center"/>
          </w:tcPr>
          <w:p>
            <w:pPr>
              <w:keepNext w:val="0"/>
              <w:keepLines w:val="0"/>
              <w:pageBreakBefore w:val="0"/>
              <w:widowControl w:val="0"/>
              <w:kinsoku/>
              <w:wordWrap/>
              <w:overflowPunct/>
              <w:topLinePunct w:val="0"/>
              <w:autoSpaceDE/>
              <w:autoSpaceDN/>
              <w:bidi w:val="0"/>
              <w:adjustRightInd/>
              <w:snapToGrid/>
              <w:spacing w:line="260" w:lineRule="exact"/>
              <w:ind w:firstLine="0" w:firstLineChars="0"/>
              <w:jc w:val="center"/>
              <w:textAlignment w:val="auto"/>
              <w:rPr>
                <w:rFonts w:ascii="黑体" w:hAnsi="黑体" w:eastAsia="黑体" w:cs="Times New Roman"/>
                <w:color w:val="auto"/>
                <w:szCs w:val="21"/>
                <w:highlight w:val="none"/>
              </w:rPr>
            </w:pPr>
            <w:r>
              <w:rPr>
                <w:rFonts w:hint="eastAsia" w:ascii="黑体" w:hAnsi="黑体" w:eastAsia="黑体" w:cs="Times New Roman"/>
                <w:color w:val="auto"/>
                <w:szCs w:val="21"/>
                <w:highlight w:val="none"/>
                <w:lang w:val="en-US" w:eastAsia="zh-CN"/>
              </w:rPr>
              <w:t>服务</w:t>
            </w:r>
            <w:r>
              <w:rPr>
                <w:rFonts w:hint="eastAsia" w:ascii="黑体" w:hAnsi="黑体" w:eastAsia="黑体" w:cs="Times New Roman"/>
                <w:color w:val="auto"/>
                <w:szCs w:val="21"/>
                <w:highlight w:val="none"/>
              </w:rPr>
              <w:t>名称</w:t>
            </w:r>
          </w:p>
        </w:tc>
        <w:tc>
          <w:tcPr>
            <w:tcW w:w="1254" w:type="dxa"/>
            <w:vAlign w:val="center"/>
          </w:tcPr>
          <w:p>
            <w:pPr>
              <w:keepNext w:val="0"/>
              <w:keepLines w:val="0"/>
              <w:pageBreakBefore w:val="0"/>
              <w:widowControl w:val="0"/>
              <w:kinsoku/>
              <w:wordWrap/>
              <w:overflowPunct/>
              <w:topLinePunct w:val="0"/>
              <w:autoSpaceDE/>
              <w:autoSpaceDN/>
              <w:bidi w:val="0"/>
              <w:adjustRightInd/>
              <w:snapToGrid/>
              <w:spacing w:line="260" w:lineRule="exact"/>
              <w:ind w:firstLine="0" w:firstLineChars="0"/>
              <w:jc w:val="center"/>
              <w:textAlignment w:val="auto"/>
              <w:rPr>
                <w:rFonts w:hint="eastAsia" w:ascii="黑体" w:hAnsi="黑体" w:eastAsia="黑体" w:cs="Times New Roman"/>
                <w:color w:val="auto"/>
                <w:szCs w:val="21"/>
                <w:highlight w:val="none"/>
                <w:lang w:eastAsia="zh-CN"/>
              </w:rPr>
            </w:pPr>
            <w:r>
              <w:rPr>
                <w:rFonts w:hint="eastAsia" w:ascii="黑体" w:hAnsi="黑体" w:eastAsia="黑体" w:cs="Times New Roman"/>
                <w:color w:val="auto"/>
                <w:szCs w:val="21"/>
                <w:highlight w:val="none"/>
              </w:rPr>
              <w:t>设备</w:t>
            </w:r>
            <w:r>
              <w:rPr>
                <w:rFonts w:hint="eastAsia" w:ascii="黑体" w:hAnsi="黑体" w:eastAsia="黑体" w:cs="Times New Roman"/>
                <w:color w:val="auto"/>
                <w:szCs w:val="21"/>
                <w:highlight w:val="none"/>
                <w:lang w:val="en-US" w:eastAsia="zh-CN"/>
              </w:rPr>
              <w:t>名称</w:t>
            </w:r>
          </w:p>
        </w:tc>
        <w:tc>
          <w:tcPr>
            <w:tcW w:w="896" w:type="dxa"/>
            <w:vAlign w:val="center"/>
          </w:tcPr>
          <w:p>
            <w:pPr>
              <w:keepNext w:val="0"/>
              <w:keepLines w:val="0"/>
              <w:pageBreakBefore w:val="0"/>
              <w:widowControl w:val="0"/>
              <w:kinsoku/>
              <w:wordWrap/>
              <w:overflowPunct/>
              <w:topLinePunct w:val="0"/>
              <w:autoSpaceDE/>
              <w:autoSpaceDN/>
              <w:bidi w:val="0"/>
              <w:adjustRightInd/>
              <w:snapToGrid/>
              <w:spacing w:line="260" w:lineRule="exact"/>
              <w:ind w:firstLine="0" w:firstLineChars="0"/>
              <w:jc w:val="center"/>
              <w:textAlignment w:val="auto"/>
              <w:rPr>
                <w:rFonts w:hint="default" w:ascii="黑体" w:hAnsi="黑体" w:eastAsia="黑体" w:cs="Times New Roman"/>
                <w:color w:val="auto"/>
                <w:szCs w:val="21"/>
                <w:highlight w:val="none"/>
                <w:lang w:val="en-US" w:eastAsia="zh-CN"/>
              </w:rPr>
            </w:pPr>
            <w:r>
              <w:rPr>
                <w:rFonts w:hint="eastAsia" w:ascii="黑体" w:hAnsi="黑体" w:eastAsia="黑体" w:cs="Times New Roman"/>
                <w:color w:val="auto"/>
                <w:szCs w:val="21"/>
                <w:highlight w:val="none"/>
                <w:lang w:val="en-US" w:eastAsia="zh-CN"/>
              </w:rPr>
              <w:t>设备序列号</w:t>
            </w:r>
          </w:p>
        </w:tc>
        <w:tc>
          <w:tcPr>
            <w:tcW w:w="1317" w:type="dxa"/>
            <w:vAlign w:val="center"/>
          </w:tcPr>
          <w:p>
            <w:pPr>
              <w:keepNext w:val="0"/>
              <w:keepLines w:val="0"/>
              <w:pageBreakBefore w:val="0"/>
              <w:widowControl w:val="0"/>
              <w:kinsoku/>
              <w:wordWrap/>
              <w:overflowPunct/>
              <w:topLinePunct w:val="0"/>
              <w:autoSpaceDE/>
              <w:autoSpaceDN/>
              <w:bidi w:val="0"/>
              <w:adjustRightInd/>
              <w:snapToGrid/>
              <w:spacing w:line="260" w:lineRule="exact"/>
              <w:ind w:firstLine="0" w:firstLineChars="0"/>
              <w:jc w:val="center"/>
              <w:textAlignment w:val="auto"/>
              <w:rPr>
                <w:rFonts w:ascii="黑体" w:hAnsi="黑体" w:eastAsia="黑体" w:cs="Times New Roman"/>
                <w:color w:val="auto"/>
                <w:szCs w:val="21"/>
                <w:highlight w:val="none"/>
              </w:rPr>
            </w:pPr>
            <w:r>
              <w:rPr>
                <w:rFonts w:hint="eastAsia" w:ascii="黑体" w:hAnsi="黑体" w:eastAsia="黑体" w:cs="Times New Roman"/>
                <w:color w:val="auto"/>
                <w:szCs w:val="21"/>
                <w:highlight w:val="none"/>
                <w:lang w:val="en-US" w:eastAsia="zh-CN"/>
              </w:rPr>
              <w:t>维保</w:t>
            </w:r>
            <w:r>
              <w:rPr>
                <w:rFonts w:hint="eastAsia" w:ascii="黑体" w:hAnsi="黑体" w:eastAsia="黑体" w:cs="Times New Roman"/>
                <w:color w:val="auto"/>
                <w:szCs w:val="21"/>
                <w:highlight w:val="none"/>
              </w:rPr>
              <w:t>类型</w:t>
            </w:r>
          </w:p>
        </w:tc>
        <w:tc>
          <w:tcPr>
            <w:tcW w:w="883" w:type="dxa"/>
            <w:vAlign w:val="center"/>
          </w:tcPr>
          <w:p>
            <w:pPr>
              <w:keepNext w:val="0"/>
              <w:keepLines w:val="0"/>
              <w:pageBreakBefore w:val="0"/>
              <w:widowControl w:val="0"/>
              <w:kinsoku/>
              <w:wordWrap/>
              <w:overflowPunct/>
              <w:topLinePunct w:val="0"/>
              <w:autoSpaceDE/>
              <w:autoSpaceDN/>
              <w:bidi w:val="0"/>
              <w:adjustRightInd/>
              <w:snapToGrid/>
              <w:spacing w:line="260" w:lineRule="exact"/>
              <w:ind w:firstLine="0" w:firstLineChars="0"/>
              <w:jc w:val="center"/>
              <w:textAlignment w:val="auto"/>
              <w:rPr>
                <w:rFonts w:ascii="黑体" w:hAnsi="黑体" w:eastAsia="黑体" w:cs="Times New Roman"/>
                <w:color w:val="auto"/>
                <w:szCs w:val="21"/>
                <w:highlight w:val="none"/>
              </w:rPr>
            </w:pPr>
            <w:r>
              <w:rPr>
                <w:rFonts w:hint="eastAsia" w:ascii="黑体" w:hAnsi="黑体" w:eastAsia="黑体" w:cs="Times New Roman"/>
                <w:color w:val="auto"/>
                <w:szCs w:val="21"/>
                <w:highlight w:val="none"/>
              </w:rPr>
              <w:t>数量</w:t>
            </w:r>
          </w:p>
        </w:tc>
        <w:tc>
          <w:tcPr>
            <w:tcW w:w="1150" w:type="dxa"/>
            <w:vAlign w:val="center"/>
          </w:tcPr>
          <w:p>
            <w:pPr>
              <w:keepNext w:val="0"/>
              <w:keepLines w:val="0"/>
              <w:pageBreakBefore w:val="0"/>
              <w:widowControl w:val="0"/>
              <w:kinsoku/>
              <w:wordWrap/>
              <w:overflowPunct/>
              <w:topLinePunct w:val="0"/>
              <w:autoSpaceDE/>
              <w:autoSpaceDN/>
              <w:bidi w:val="0"/>
              <w:adjustRightInd/>
              <w:snapToGrid/>
              <w:spacing w:line="260" w:lineRule="exact"/>
              <w:ind w:firstLine="0" w:firstLineChars="0"/>
              <w:jc w:val="center"/>
              <w:textAlignment w:val="auto"/>
              <w:rPr>
                <w:rFonts w:hint="default" w:ascii="黑体" w:hAnsi="黑体" w:eastAsia="黑体" w:cs="Times New Roman"/>
                <w:color w:val="auto"/>
                <w:szCs w:val="21"/>
                <w:highlight w:val="none"/>
                <w:lang w:val="en-US" w:eastAsia="zh-CN"/>
              </w:rPr>
            </w:pPr>
            <w:r>
              <w:rPr>
                <w:rFonts w:hint="eastAsia" w:ascii="黑体" w:hAnsi="黑体" w:eastAsia="黑体" w:cs="Times New Roman"/>
                <w:color w:val="auto"/>
                <w:szCs w:val="21"/>
                <w:highlight w:val="none"/>
                <w:lang w:val="en-US" w:eastAsia="zh-CN"/>
              </w:rPr>
              <w:t>维保期起止时间</w:t>
            </w:r>
          </w:p>
        </w:tc>
        <w:tc>
          <w:tcPr>
            <w:tcW w:w="715" w:type="dxa"/>
            <w:vAlign w:val="center"/>
          </w:tcPr>
          <w:p>
            <w:pPr>
              <w:keepNext w:val="0"/>
              <w:keepLines w:val="0"/>
              <w:pageBreakBefore w:val="0"/>
              <w:widowControl w:val="0"/>
              <w:kinsoku/>
              <w:wordWrap/>
              <w:overflowPunct/>
              <w:topLinePunct w:val="0"/>
              <w:autoSpaceDE/>
              <w:autoSpaceDN/>
              <w:bidi w:val="0"/>
              <w:adjustRightInd/>
              <w:snapToGrid/>
              <w:spacing w:line="260" w:lineRule="exact"/>
              <w:ind w:firstLine="0" w:firstLineChars="0"/>
              <w:jc w:val="center"/>
              <w:textAlignment w:val="auto"/>
              <w:rPr>
                <w:rFonts w:ascii="黑体" w:hAnsi="黑体" w:eastAsia="黑体" w:cs="Times New Roman"/>
                <w:color w:val="auto"/>
                <w:szCs w:val="21"/>
                <w:highlight w:val="none"/>
                <w:lang w:bidi="ar"/>
              </w:rPr>
            </w:pPr>
            <w:r>
              <w:rPr>
                <w:rFonts w:hint="eastAsia" w:ascii="黑体" w:hAnsi="黑体" w:eastAsia="黑体" w:cs="Times New Roman"/>
                <w:color w:val="auto"/>
                <w:szCs w:val="21"/>
                <w:highlight w:val="none"/>
              </w:rPr>
              <w:t>单价</w:t>
            </w:r>
          </w:p>
        </w:tc>
        <w:tc>
          <w:tcPr>
            <w:tcW w:w="1061" w:type="dxa"/>
            <w:vAlign w:val="center"/>
          </w:tcPr>
          <w:p>
            <w:pPr>
              <w:keepNext w:val="0"/>
              <w:keepLines w:val="0"/>
              <w:pageBreakBefore w:val="0"/>
              <w:widowControl w:val="0"/>
              <w:kinsoku/>
              <w:wordWrap/>
              <w:overflowPunct/>
              <w:topLinePunct w:val="0"/>
              <w:autoSpaceDE/>
              <w:autoSpaceDN/>
              <w:bidi w:val="0"/>
              <w:adjustRightInd/>
              <w:snapToGrid/>
              <w:spacing w:line="260" w:lineRule="exact"/>
              <w:ind w:firstLine="0" w:firstLineChars="0"/>
              <w:jc w:val="center"/>
              <w:textAlignment w:val="auto"/>
              <w:rPr>
                <w:rFonts w:hint="eastAsia" w:ascii="黑体" w:hAnsi="黑体" w:eastAsia="黑体" w:cs="Times New Roman"/>
                <w:color w:val="auto"/>
                <w:szCs w:val="21"/>
                <w:highlight w:val="none"/>
                <w:lang w:eastAsia="zh-CN" w:bidi="ar"/>
              </w:rPr>
            </w:pPr>
            <w:r>
              <w:rPr>
                <w:rFonts w:hint="eastAsia" w:ascii="黑体" w:hAnsi="黑体" w:eastAsia="黑体" w:cs="Times New Roman"/>
                <w:color w:val="auto"/>
                <w:szCs w:val="21"/>
                <w:highlight w:val="none"/>
                <w:lang w:val="en-US" w:eastAsia="zh-CN"/>
              </w:rPr>
              <w:t>合计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694" w:type="dxa"/>
            <w:vAlign w:val="center"/>
          </w:tcPr>
          <w:p>
            <w:pPr>
              <w:keepNext w:val="0"/>
              <w:keepLines w:val="0"/>
              <w:pageBreakBefore w:val="0"/>
              <w:widowControl w:val="0"/>
              <w:kinsoku/>
              <w:wordWrap/>
              <w:overflowPunct/>
              <w:topLinePunct w:val="0"/>
              <w:autoSpaceDE/>
              <w:autoSpaceDN/>
              <w:bidi w:val="0"/>
              <w:adjustRightInd/>
              <w:snapToGrid/>
              <w:spacing w:line="260" w:lineRule="exact"/>
              <w:ind w:firstLine="0" w:firstLineChars="0"/>
              <w:textAlignment w:val="auto"/>
              <w:rPr>
                <w:rFonts w:cs="Times New Roman"/>
                <w:color w:val="auto"/>
                <w:szCs w:val="21"/>
                <w:highlight w:val="none"/>
                <w:lang w:bidi="ar"/>
              </w:rPr>
            </w:pPr>
          </w:p>
        </w:tc>
        <w:tc>
          <w:tcPr>
            <w:tcW w:w="1723" w:type="dxa"/>
            <w:vAlign w:val="center"/>
          </w:tcPr>
          <w:p>
            <w:pPr>
              <w:keepNext w:val="0"/>
              <w:keepLines w:val="0"/>
              <w:pageBreakBefore w:val="0"/>
              <w:widowControl w:val="0"/>
              <w:kinsoku/>
              <w:wordWrap/>
              <w:overflowPunct/>
              <w:topLinePunct w:val="0"/>
              <w:autoSpaceDE/>
              <w:autoSpaceDN/>
              <w:bidi w:val="0"/>
              <w:adjustRightInd/>
              <w:snapToGrid/>
              <w:spacing w:line="260" w:lineRule="exact"/>
              <w:ind w:firstLine="0" w:firstLineChars="0"/>
              <w:textAlignment w:val="auto"/>
              <w:rPr>
                <w:rFonts w:cs="Times New Roman"/>
                <w:color w:val="auto"/>
                <w:szCs w:val="21"/>
                <w:highlight w:val="none"/>
                <w:lang w:bidi="ar"/>
              </w:rPr>
            </w:pPr>
          </w:p>
        </w:tc>
        <w:tc>
          <w:tcPr>
            <w:tcW w:w="1254" w:type="dxa"/>
            <w:vAlign w:val="center"/>
          </w:tcPr>
          <w:p>
            <w:pPr>
              <w:keepNext w:val="0"/>
              <w:keepLines w:val="0"/>
              <w:pageBreakBefore w:val="0"/>
              <w:widowControl w:val="0"/>
              <w:kinsoku/>
              <w:wordWrap/>
              <w:overflowPunct/>
              <w:topLinePunct w:val="0"/>
              <w:autoSpaceDE/>
              <w:autoSpaceDN/>
              <w:bidi w:val="0"/>
              <w:adjustRightInd/>
              <w:snapToGrid/>
              <w:spacing w:line="260" w:lineRule="exact"/>
              <w:ind w:firstLine="0" w:firstLineChars="0"/>
              <w:jc w:val="center"/>
              <w:textAlignment w:val="auto"/>
              <w:rPr>
                <w:rFonts w:cs="Times New Roman"/>
                <w:color w:val="auto"/>
                <w:szCs w:val="21"/>
                <w:highlight w:val="none"/>
                <w:lang w:bidi="ar"/>
              </w:rPr>
            </w:pPr>
          </w:p>
        </w:tc>
        <w:tc>
          <w:tcPr>
            <w:tcW w:w="896" w:type="dxa"/>
            <w:vAlign w:val="center"/>
          </w:tcPr>
          <w:p>
            <w:pPr>
              <w:keepNext w:val="0"/>
              <w:keepLines w:val="0"/>
              <w:pageBreakBefore w:val="0"/>
              <w:widowControl w:val="0"/>
              <w:kinsoku/>
              <w:wordWrap/>
              <w:overflowPunct/>
              <w:topLinePunct w:val="0"/>
              <w:autoSpaceDE/>
              <w:autoSpaceDN/>
              <w:bidi w:val="0"/>
              <w:adjustRightInd/>
              <w:snapToGrid/>
              <w:spacing w:line="260" w:lineRule="exact"/>
              <w:ind w:firstLine="0" w:firstLineChars="0"/>
              <w:jc w:val="center"/>
              <w:textAlignment w:val="auto"/>
              <w:rPr>
                <w:rFonts w:cs="Times New Roman"/>
                <w:color w:val="auto"/>
                <w:szCs w:val="21"/>
                <w:highlight w:val="none"/>
                <w:lang w:bidi="ar"/>
              </w:rPr>
            </w:pPr>
          </w:p>
        </w:tc>
        <w:tc>
          <w:tcPr>
            <w:tcW w:w="1317" w:type="dxa"/>
            <w:vAlign w:val="center"/>
          </w:tcPr>
          <w:p>
            <w:pPr>
              <w:keepNext w:val="0"/>
              <w:keepLines w:val="0"/>
              <w:pageBreakBefore w:val="0"/>
              <w:widowControl w:val="0"/>
              <w:kinsoku/>
              <w:wordWrap/>
              <w:overflowPunct/>
              <w:topLinePunct w:val="0"/>
              <w:autoSpaceDE/>
              <w:autoSpaceDN/>
              <w:bidi w:val="0"/>
              <w:adjustRightInd/>
              <w:snapToGrid/>
              <w:spacing w:line="260" w:lineRule="exact"/>
              <w:ind w:firstLine="0" w:firstLineChars="0"/>
              <w:jc w:val="center"/>
              <w:textAlignment w:val="auto"/>
              <w:rPr>
                <w:rFonts w:cs="Times New Roman"/>
                <w:color w:val="auto"/>
                <w:szCs w:val="21"/>
                <w:highlight w:val="none"/>
                <w:lang w:bidi="ar"/>
              </w:rPr>
            </w:pPr>
          </w:p>
        </w:tc>
        <w:tc>
          <w:tcPr>
            <w:tcW w:w="883" w:type="dxa"/>
            <w:vAlign w:val="center"/>
          </w:tcPr>
          <w:p>
            <w:pPr>
              <w:keepNext w:val="0"/>
              <w:keepLines w:val="0"/>
              <w:pageBreakBefore w:val="0"/>
              <w:widowControl w:val="0"/>
              <w:kinsoku/>
              <w:wordWrap/>
              <w:overflowPunct/>
              <w:topLinePunct w:val="0"/>
              <w:autoSpaceDE/>
              <w:autoSpaceDN/>
              <w:bidi w:val="0"/>
              <w:adjustRightInd/>
              <w:snapToGrid/>
              <w:spacing w:line="260" w:lineRule="exact"/>
              <w:ind w:firstLine="0" w:firstLineChars="0"/>
              <w:jc w:val="center"/>
              <w:textAlignment w:val="auto"/>
              <w:rPr>
                <w:rFonts w:cs="Times New Roman"/>
                <w:color w:val="auto"/>
                <w:szCs w:val="21"/>
                <w:highlight w:val="none"/>
                <w:lang w:bidi="ar"/>
              </w:rPr>
            </w:pPr>
          </w:p>
        </w:tc>
        <w:tc>
          <w:tcPr>
            <w:tcW w:w="1150" w:type="dxa"/>
            <w:vAlign w:val="center"/>
          </w:tcPr>
          <w:p>
            <w:pPr>
              <w:keepNext w:val="0"/>
              <w:keepLines w:val="0"/>
              <w:pageBreakBefore w:val="0"/>
              <w:widowControl w:val="0"/>
              <w:kinsoku/>
              <w:wordWrap/>
              <w:overflowPunct/>
              <w:topLinePunct w:val="0"/>
              <w:autoSpaceDE/>
              <w:autoSpaceDN/>
              <w:bidi w:val="0"/>
              <w:adjustRightInd/>
              <w:snapToGrid/>
              <w:spacing w:line="260" w:lineRule="exact"/>
              <w:ind w:firstLine="0" w:firstLineChars="0"/>
              <w:jc w:val="center"/>
              <w:textAlignment w:val="auto"/>
              <w:rPr>
                <w:rFonts w:cs="Times New Roman"/>
                <w:color w:val="auto"/>
                <w:szCs w:val="21"/>
                <w:highlight w:val="none"/>
                <w:lang w:bidi="ar"/>
              </w:rPr>
            </w:pPr>
          </w:p>
        </w:tc>
        <w:tc>
          <w:tcPr>
            <w:tcW w:w="715" w:type="dxa"/>
            <w:vAlign w:val="center"/>
          </w:tcPr>
          <w:p>
            <w:pPr>
              <w:keepNext w:val="0"/>
              <w:keepLines w:val="0"/>
              <w:pageBreakBefore w:val="0"/>
              <w:widowControl w:val="0"/>
              <w:kinsoku/>
              <w:wordWrap/>
              <w:overflowPunct/>
              <w:topLinePunct w:val="0"/>
              <w:autoSpaceDE/>
              <w:autoSpaceDN/>
              <w:bidi w:val="0"/>
              <w:adjustRightInd/>
              <w:snapToGrid/>
              <w:spacing w:line="260" w:lineRule="exact"/>
              <w:ind w:firstLine="0" w:firstLineChars="0"/>
              <w:jc w:val="center"/>
              <w:textAlignment w:val="auto"/>
              <w:rPr>
                <w:rFonts w:cs="Times New Roman"/>
                <w:color w:val="auto"/>
                <w:szCs w:val="21"/>
                <w:highlight w:val="none"/>
                <w:lang w:bidi="ar"/>
              </w:rPr>
            </w:pPr>
          </w:p>
        </w:tc>
        <w:tc>
          <w:tcPr>
            <w:tcW w:w="1061" w:type="dxa"/>
            <w:vAlign w:val="center"/>
          </w:tcPr>
          <w:p>
            <w:pPr>
              <w:keepNext w:val="0"/>
              <w:keepLines w:val="0"/>
              <w:pageBreakBefore w:val="0"/>
              <w:widowControl w:val="0"/>
              <w:kinsoku/>
              <w:wordWrap/>
              <w:overflowPunct/>
              <w:topLinePunct w:val="0"/>
              <w:autoSpaceDE/>
              <w:autoSpaceDN/>
              <w:bidi w:val="0"/>
              <w:adjustRightInd/>
              <w:snapToGrid/>
              <w:spacing w:line="260" w:lineRule="exact"/>
              <w:ind w:firstLine="0" w:firstLineChars="0"/>
              <w:jc w:val="center"/>
              <w:textAlignment w:val="auto"/>
              <w:rPr>
                <w:rFonts w:cs="Times New Roman"/>
                <w:color w:val="auto"/>
                <w:szCs w:val="21"/>
                <w:highlight w:val="none"/>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694" w:type="dxa"/>
            <w:vAlign w:val="center"/>
          </w:tcPr>
          <w:p>
            <w:pPr>
              <w:keepNext w:val="0"/>
              <w:keepLines w:val="0"/>
              <w:pageBreakBefore w:val="0"/>
              <w:widowControl w:val="0"/>
              <w:kinsoku/>
              <w:wordWrap/>
              <w:overflowPunct/>
              <w:topLinePunct w:val="0"/>
              <w:autoSpaceDE/>
              <w:autoSpaceDN/>
              <w:bidi w:val="0"/>
              <w:adjustRightInd/>
              <w:snapToGrid/>
              <w:spacing w:line="260" w:lineRule="exact"/>
              <w:ind w:firstLine="0" w:firstLineChars="0"/>
              <w:textAlignment w:val="auto"/>
              <w:rPr>
                <w:rFonts w:cs="Times New Roman"/>
                <w:color w:val="auto"/>
                <w:szCs w:val="21"/>
                <w:highlight w:val="none"/>
                <w:lang w:bidi="ar"/>
              </w:rPr>
            </w:pPr>
          </w:p>
        </w:tc>
        <w:tc>
          <w:tcPr>
            <w:tcW w:w="1723" w:type="dxa"/>
            <w:vAlign w:val="center"/>
          </w:tcPr>
          <w:p>
            <w:pPr>
              <w:keepNext w:val="0"/>
              <w:keepLines w:val="0"/>
              <w:pageBreakBefore w:val="0"/>
              <w:widowControl w:val="0"/>
              <w:kinsoku/>
              <w:wordWrap/>
              <w:overflowPunct/>
              <w:topLinePunct w:val="0"/>
              <w:autoSpaceDE/>
              <w:autoSpaceDN/>
              <w:bidi w:val="0"/>
              <w:adjustRightInd/>
              <w:snapToGrid/>
              <w:spacing w:line="260" w:lineRule="exact"/>
              <w:ind w:firstLine="0" w:firstLineChars="0"/>
              <w:textAlignment w:val="auto"/>
              <w:rPr>
                <w:rFonts w:cs="Times New Roman"/>
                <w:color w:val="auto"/>
                <w:szCs w:val="21"/>
                <w:highlight w:val="none"/>
                <w:lang w:bidi="ar"/>
              </w:rPr>
            </w:pPr>
          </w:p>
        </w:tc>
        <w:tc>
          <w:tcPr>
            <w:tcW w:w="1254" w:type="dxa"/>
            <w:vAlign w:val="center"/>
          </w:tcPr>
          <w:p>
            <w:pPr>
              <w:keepNext w:val="0"/>
              <w:keepLines w:val="0"/>
              <w:pageBreakBefore w:val="0"/>
              <w:widowControl w:val="0"/>
              <w:kinsoku/>
              <w:wordWrap/>
              <w:overflowPunct/>
              <w:topLinePunct w:val="0"/>
              <w:autoSpaceDE/>
              <w:autoSpaceDN/>
              <w:bidi w:val="0"/>
              <w:adjustRightInd/>
              <w:snapToGrid/>
              <w:spacing w:line="260" w:lineRule="exact"/>
              <w:ind w:firstLine="0" w:firstLineChars="0"/>
              <w:jc w:val="center"/>
              <w:textAlignment w:val="auto"/>
              <w:rPr>
                <w:rFonts w:cs="Times New Roman"/>
                <w:color w:val="auto"/>
                <w:szCs w:val="21"/>
                <w:highlight w:val="none"/>
                <w:lang w:bidi="ar"/>
              </w:rPr>
            </w:pPr>
          </w:p>
        </w:tc>
        <w:tc>
          <w:tcPr>
            <w:tcW w:w="896" w:type="dxa"/>
            <w:vAlign w:val="center"/>
          </w:tcPr>
          <w:p>
            <w:pPr>
              <w:keepNext w:val="0"/>
              <w:keepLines w:val="0"/>
              <w:pageBreakBefore w:val="0"/>
              <w:widowControl w:val="0"/>
              <w:kinsoku/>
              <w:wordWrap/>
              <w:overflowPunct/>
              <w:topLinePunct w:val="0"/>
              <w:autoSpaceDE/>
              <w:autoSpaceDN/>
              <w:bidi w:val="0"/>
              <w:adjustRightInd/>
              <w:snapToGrid/>
              <w:spacing w:line="260" w:lineRule="exact"/>
              <w:ind w:firstLine="0" w:firstLineChars="0"/>
              <w:jc w:val="center"/>
              <w:textAlignment w:val="auto"/>
              <w:rPr>
                <w:rFonts w:cs="Times New Roman"/>
                <w:color w:val="auto"/>
                <w:szCs w:val="21"/>
                <w:highlight w:val="none"/>
                <w:lang w:bidi="ar"/>
              </w:rPr>
            </w:pPr>
          </w:p>
        </w:tc>
        <w:tc>
          <w:tcPr>
            <w:tcW w:w="1317" w:type="dxa"/>
            <w:vAlign w:val="center"/>
          </w:tcPr>
          <w:p>
            <w:pPr>
              <w:keepNext w:val="0"/>
              <w:keepLines w:val="0"/>
              <w:pageBreakBefore w:val="0"/>
              <w:widowControl w:val="0"/>
              <w:kinsoku/>
              <w:wordWrap/>
              <w:overflowPunct/>
              <w:topLinePunct w:val="0"/>
              <w:autoSpaceDE/>
              <w:autoSpaceDN/>
              <w:bidi w:val="0"/>
              <w:adjustRightInd/>
              <w:snapToGrid/>
              <w:spacing w:line="260" w:lineRule="exact"/>
              <w:ind w:firstLine="0" w:firstLineChars="0"/>
              <w:jc w:val="center"/>
              <w:textAlignment w:val="auto"/>
              <w:rPr>
                <w:rFonts w:cs="Times New Roman"/>
                <w:color w:val="auto"/>
                <w:szCs w:val="21"/>
                <w:highlight w:val="none"/>
                <w:lang w:bidi="ar"/>
              </w:rPr>
            </w:pPr>
          </w:p>
        </w:tc>
        <w:tc>
          <w:tcPr>
            <w:tcW w:w="883" w:type="dxa"/>
            <w:vAlign w:val="center"/>
          </w:tcPr>
          <w:p>
            <w:pPr>
              <w:keepNext w:val="0"/>
              <w:keepLines w:val="0"/>
              <w:pageBreakBefore w:val="0"/>
              <w:widowControl w:val="0"/>
              <w:kinsoku/>
              <w:wordWrap/>
              <w:overflowPunct/>
              <w:topLinePunct w:val="0"/>
              <w:autoSpaceDE/>
              <w:autoSpaceDN/>
              <w:bidi w:val="0"/>
              <w:adjustRightInd/>
              <w:snapToGrid/>
              <w:spacing w:line="260" w:lineRule="exact"/>
              <w:ind w:firstLine="0" w:firstLineChars="0"/>
              <w:jc w:val="center"/>
              <w:textAlignment w:val="auto"/>
              <w:rPr>
                <w:rFonts w:cs="Times New Roman"/>
                <w:color w:val="auto"/>
                <w:szCs w:val="21"/>
                <w:highlight w:val="none"/>
                <w:lang w:bidi="ar"/>
              </w:rPr>
            </w:pPr>
          </w:p>
        </w:tc>
        <w:tc>
          <w:tcPr>
            <w:tcW w:w="1150" w:type="dxa"/>
            <w:vAlign w:val="center"/>
          </w:tcPr>
          <w:p>
            <w:pPr>
              <w:keepNext w:val="0"/>
              <w:keepLines w:val="0"/>
              <w:pageBreakBefore w:val="0"/>
              <w:widowControl w:val="0"/>
              <w:kinsoku/>
              <w:wordWrap/>
              <w:overflowPunct/>
              <w:topLinePunct w:val="0"/>
              <w:autoSpaceDE/>
              <w:autoSpaceDN/>
              <w:bidi w:val="0"/>
              <w:adjustRightInd/>
              <w:snapToGrid/>
              <w:spacing w:line="260" w:lineRule="exact"/>
              <w:ind w:firstLine="0" w:firstLineChars="0"/>
              <w:jc w:val="center"/>
              <w:textAlignment w:val="auto"/>
              <w:rPr>
                <w:rFonts w:cs="Times New Roman"/>
                <w:color w:val="auto"/>
                <w:szCs w:val="21"/>
                <w:highlight w:val="none"/>
                <w:lang w:bidi="ar"/>
              </w:rPr>
            </w:pPr>
          </w:p>
        </w:tc>
        <w:tc>
          <w:tcPr>
            <w:tcW w:w="715" w:type="dxa"/>
            <w:vAlign w:val="center"/>
          </w:tcPr>
          <w:p>
            <w:pPr>
              <w:keepNext w:val="0"/>
              <w:keepLines w:val="0"/>
              <w:pageBreakBefore w:val="0"/>
              <w:widowControl w:val="0"/>
              <w:kinsoku/>
              <w:wordWrap/>
              <w:overflowPunct/>
              <w:topLinePunct w:val="0"/>
              <w:autoSpaceDE/>
              <w:autoSpaceDN/>
              <w:bidi w:val="0"/>
              <w:adjustRightInd/>
              <w:snapToGrid/>
              <w:spacing w:line="260" w:lineRule="exact"/>
              <w:ind w:firstLine="0" w:firstLineChars="0"/>
              <w:jc w:val="center"/>
              <w:textAlignment w:val="auto"/>
              <w:rPr>
                <w:rFonts w:cs="Times New Roman"/>
                <w:color w:val="auto"/>
                <w:szCs w:val="21"/>
                <w:highlight w:val="none"/>
                <w:lang w:bidi="ar"/>
              </w:rPr>
            </w:pPr>
          </w:p>
        </w:tc>
        <w:tc>
          <w:tcPr>
            <w:tcW w:w="1061" w:type="dxa"/>
            <w:vAlign w:val="center"/>
          </w:tcPr>
          <w:p>
            <w:pPr>
              <w:keepNext w:val="0"/>
              <w:keepLines w:val="0"/>
              <w:pageBreakBefore w:val="0"/>
              <w:widowControl w:val="0"/>
              <w:kinsoku/>
              <w:wordWrap/>
              <w:overflowPunct/>
              <w:topLinePunct w:val="0"/>
              <w:autoSpaceDE/>
              <w:autoSpaceDN/>
              <w:bidi w:val="0"/>
              <w:adjustRightInd/>
              <w:snapToGrid/>
              <w:spacing w:line="260" w:lineRule="exact"/>
              <w:ind w:firstLine="0" w:firstLineChars="0"/>
              <w:jc w:val="center"/>
              <w:textAlignment w:val="auto"/>
              <w:rPr>
                <w:rFonts w:cs="Times New Roman"/>
                <w:color w:val="auto"/>
                <w:szCs w:val="21"/>
                <w:highlight w:val="none"/>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jc w:val="center"/>
        </w:trPr>
        <w:tc>
          <w:tcPr>
            <w:tcW w:w="2417" w:type="dxa"/>
            <w:gridSpan w:val="2"/>
            <w:vAlign w:val="center"/>
          </w:tcPr>
          <w:p>
            <w:pPr>
              <w:keepNext w:val="0"/>
              <w:keepLines w:val="0"/>
              <w:pageBreakBefore w:val="0"/>
              <w:widowControl w:val="0"/>
              <w:kinsoku/>
              <w:wordWrap/>
              <w:overflowPunct/>
              <w:topLinePunct w:val="0"/>
              <w:autoSpaceDE/>
              <w:autoSpaceDN/>
              <w:bidi w:val="0"/>
              <w:adjustRightInd/>
              <w:snapToGrid/>
              <w:spacing w:line="260" w:lineRule="exact"/>
              <w:ind w:firstLine="0" w:firstLineChars="0"/>
              <w:textAlignment w:val="auto"/>
              <w:rPr>
                <w:rFonts w:cs="Times New Roman"/>
                <w:color w:val="auto"/>
                <w:szCs w:val="21"/>
                <w:highlight w:val="none"/>
                <w:lang w:bidi="ar"/>
              </w:rPr>
            </w:pPr>
            <w:r>
              <w:rPr>
                <w:rFonts w:hint="eastAsia" w:cs="Times New Roman"/>
                <w:color w:val="auto"/>
                <w:szCs w:val="21"/>
                <w:highlight w:val="none"/>
                <w:lang w:bidi="ar"/>
              </w:rPr>
              <w:t>合同总金额（大写）</w:t>
            </w:r>
          </w:p>
        </w:tc>
        <w:tc>
          <w:tcPr>
            <w:tcW w:w="7276" w:type="dxa"/>
            <w:gridSpan w:val="7"/>
            <w:vAlign w:val="center"/>
          </w:tcPr>
          <w:p>
            <w:pPr>
              <w:keepNext w:val="0"/>
              <w:keepLines w:val="0"/>
              <w:pageBreakBefore w:val="0"/>
              <w:widowControl w:val="0"/>
              <w:kinsoku/>
              <w:wordWrap/>
              <w:overflowPunct/>
              <w:topLinePunct w:val="0"/>
              <w:autoSpaceDE/>
              <w:autoSpaceDN/>
              <w:bidi w:val="0"/>
              <w:adjustRightInd/>
              <w:snapToGrid/>
              <w:spacing w:line="260" w:lineRule="exact"/>
              <w:ind w:firstLine="0" w:firstLineChars="0"/>
              <w:jc w:val="center"/>
              <w:textAlignment w:val="auto"/>
              <w:rPr>
                <w:rFonts w:cs="Times New Roman"/>
                <w:color w:val="auto"/>
                <w:szCs w:val="21"/>
                <w:highlight w:val="none"/>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2417" w:type="dxa"/>
            <w:gridSpan w:val="2"/>
            <w:vAlign w:val="center"/>
          </w:tcPr>
          <w:p>
            <w:pPr>
              <w:keepNext w:val="0"/>
              <w:keepLines w:val="0"/>
              <w:pageBreakBefore w:val="0"/>
              <w:widowControl w:val="0"/>
              <w:kinsoku/>
              <w:wordWrap/>
              <w:overflowPunct/>
              <w:topLinePunct w:val="0"/>
              <w:autoSpaceDE/>
              <w:autoSpaceDN/>
              <w:bidi w:val="0"/>
              <w:adjustRightInd/>
              <w:snapToGrid/>
              <w:spacing w:line="260" w:lineRule="exact"/>
              <w:ind w:firstLine="0" w:firstLineChars="0"/>
              <w:textAlignment w:val="auto"/>
              <w:rPr>
                <w:rFonts w:cs="Times New Roman"/>
                <w:color w:val="auto"/>
                <w:szCs w:val="21"/>
                <w:highlight w:val="none"/>
                <w:lang w:bidi="ar"/>
              </w:rPr>
            </w:pPr>
            <w:r>
              <w:rPr>
                <w:rFonts w:hint="eastAsia" w:cs="Times New Roman"/>
                <w:color w:val="auto"/>
                <w:szCs w:val="21"/>
                <w:highlight w:val="none"/>
                <w:lang w:bidi="ar"/>
              </w:rPr>
              <w:t>合同总金额（小写）</w:t>
            </w:r>
          </w:p>
        </w:tc>
        <w:tc>
          <w:tcPr>
            <w:tcW w:w="7276" w:type="dxa"/>
            <w:gridSpan w:val="7"/>
            <w:vAlign w:val="center"/>
          </w:tcPr>
          <w:p>
            <w:pPr>
              <w:keepNext w:val="0"/>
              <w:keepLines w:val="0"/>
              <w:pageBreakBefore w:val="0"/>
              <w:widowControl w:val="0"/>
              <w:kinsoku/>
              <w:wordWrap/>
              <w:overflowPunct/>
              <w:topLinePunct w:val="0"/>
              <w:autoSpaceDE/>
              <w:autoSpaceDN/>
              <w:bidi w:val="0"/>
              <w:adjustRightInd/>
              <w:snapToGrid/>
              <w:spacing w:line="260" w:lineRule="exact"/>
              <w:ind w:firstLine="0" w:firstLineChars="0"/>
              <w:jc w:val="center"/>
              <w:textAlignment w:val="auto"/>
              <w:rPr>
                <w:rFonts w:cs="Times New Roman"/>
                <w:color w:val="auto"/>
                <w:szCs w:val="21"/>
                <w:highlight w:val="none"/>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694" w:type="dxa"/>
            <w:vAlign w:val="center"/>
          </w:tcPr>
          <w:p>
            <w:pPr>
              <w:keepNext w:val="0"/>
              <w:keepLines w:val="0"/>
              <w:pageBreakBefore w:val="0"/>
              <w:widowControl w:val="0"/>
              <w:kinsoku/>
              <w:wordWrap/>
              <w:overflowPunct/>
              <w:topLinePunct w:val="0"/>
              <w:autoSpaceDE/>
              <w:autoSpaceDN/>
              <w:bidi w:val="0"/>
              <w:adjustRightInd/>
              <w:snapToGrid/>
              <w:spacing w:line="260" w:lineRule="exact"/>
              <w:ind w:firstLine="0" w:firstLineChars="0"/>
              <w:textAlignment w:val="auto"/>
              <w:rPr>
                <w:rFonts w:hint="eastAsia" w:cs="Times New Roman" w:eastAsiaTheme="minorEastAsia"/>
                <w:color w:val="auto"/>
                <w:szCs w:val="21"/>
                <w:highlight w:val="none"/>
                <w:lang w:val="en-US" w:eastAsia="zh-CN" w:bidi="ar"/>
              </w:rPr>
            </w:pPr>
            <w:r>
              <w:rPr>
                <w:rFonts w:hint="eastAsia" w:cs="Times New Roman"/>
                <w:color w:val="auto"/>
                <w:szCs w:val="21"/>
                <w:highlight w:val="none"/>
                <w:lang w:val="en-US" w:eastAsia="zh-CN" w:bidi="ar"/>
              </w:rPr>
              <w:t>备注</w:t>
            </w:r>
          </w:p>
        </w:tc>
        <w:tc>
          <w:tcPr>
            <w:tcW w:w="8999" w:type="dxa"/>
            <w:gridSpan w:val="8"/>
            <w:vAlign w:val="center"/>
          </w:tcPr>
          <w:p>
            <w:pPr>
              <w:keepNext w:val="0"/>
              <w:keepLines w:val="0"/>
              <w:pageBreakBefore w:val="0"/>
              <w:widowControl w:val="0"/>
              <w:kinsoku/>
              <w:wordWrap/>
              <w:overflowPunct/>
              <w:topLinePunct w:val="0"/>
              <w:autoSpaceDE/>
              <w:autoSpaceDN/>
              <w:bidi w:val="0"/>
              <w:adjustRightInd/>
              <w:snapToGrid/>
              <w:spacing w:line="260" w:lineRule="exact"/>
              <w:ind w:firstLine="0" w:firstLineChars="0"/>
              <w:jc w:val="left"/>
              <w:textAlignment w:val="auto"/>
              <w:rPr>
                <w:rFonts w:hint="default" w:cs="Times New Roman" w:eastAsiaTheme="minorEastAsia"/>
                <w:color w:val="auto"/>
                <w:szCs w:val="21"/>
                <w:highlight w:val="none"/>
                <w:lang w:val="en-US" w:eastAsia="zh-CN" w:bidi="ar"/>
              </w:rPr>
            </w:pPr>
            <w:r>
              <w:rPr>
                <w:rFonts w:hint="eastAsia" w:cs="Times New Roman"/>
                <w:color w:val="auto"/>
                <w:szCs w:val="21"/>
                <w:highlight w:val="none"/>
                <w:lang w:val="en-US" w:eastAsia="zh-CN" w:bidi="ar"/>
              </w:rPr>
              <w:t>如无特殊说明，对象设备的维保服务内容包含该设备附属的第三方设备。</w:t>
            </w:r>
          </w:p>
        </w:tc>
      </w:tr>
    </w:tbl>
    <w:p>
      <w:pPr>
        <w:rPr>
          <w:rFonts w:hint="eastAsia" w:cs="宋体"/>
          <w:b/>
          <w:color w:val="auto"/>
          <w:szCs w:val="21"/>
          <w:highlight w:val="none"/>
          <w:lang w:bidi="ar"/>
        </w:rPr>
      </w:pPr>
    </w:p>
    <w:p>
      <w:pPr>
        <w:keepNext w:val="0"/>
        <w:keepLines w:val="0"/>
        <w:pageBreakBefore w:val="0"/>
        <w:kinsoku/>
        <w:wordWrap/>
        <w:overflowPunct/>
        <w:topLinePunct w:val="0"/>
        <w:autoSpaceDE/>
        <w:autoSpaceDN/>
        <w:bidi w:val="0"/>
        <w:adjustRightInd/>
        <w:spacing w:line="312" w:lineRule="auto"/>
        <w:ind w:firstLine="422" w:firstLineChars="200"/>
        <w:textAlignment w:val="auto"/>
        <w:rPr>
          <w:rFonts w:hint="eastAsia" w:cs="宋体"/>
          <w:b/>
          <w:color w:val="auto"/>
          <w:szCs w:val="21"/>
          <w:highlight w:val="none"/>
          <w:lang w:bidi="ar"/>
        </w:rPr>
      </w:pPr>
      <w:r>
        <w:rPr>
          <w:rFonts w:hint="eastAsia" w:cs="宋体"/>
          <w:b/>
          <w:color w:val="auto"/>
          <w:szCs w:val="21"/>
          <w:highlight w:val="none"/>
          <w:lang w:val="en-US" w:eastAsia="zh-CN" w:bidi="ar"/>
        </w:rPr>
        <w:t>二、</w:t>
      </w:r>
      <w:r>
        <w:rPr>
          <w:rFonts w:hint="eastAsia" w:cs="宋体"/>
          <w:b/>
          <w:color w:val="auto"/>
          <w:szCs w:val="21"/>
          <w:highlight w:val="none"/>
          <w:lang w:bidi="ar"/>
        </w:rPr>
        <w:t>维保服务内容</w:t>
      </w:r>
    </w:p>
    <w:p>
      <w:pPr>
        <w:pStyle w:val="15"/>
        <w:keepNext w:val="0"/>
        <w:keepLines w:val="0"/>
        <w:pageBreakBefore w:val="0"/>
        <w:widowControl/>
        <w:kinsoku/>
        <w:wordWrap/>
        <w:overflowPunct/>
        <w:topLinePunct w:val="0"/>
        <w:autoSpaceDE/>
        <w:autoSpaceDN/>
        <w:bidi w:val="0"/>
        <w:adjustRightInd/>
        <w:snapToGrid/>
        <w:spacing w:line="312" w:lineRule="auto"/>
        <w:ind w:firstLine="420" w:firstLineChars="200"/>
        <w:textAlignment w:val="auto"/>
        <w:rPr>
          <w:rFonts w:hint="default" w:ascii="宋体" w:hAnsi="宋体" w:eastAsia="宋体"/>
          <w:color w:val="auto"/>
          <w:szCs w:val="21"/>
          <w:highlight w:val="none"/>
          <w:lang w:val="en-US" w:eastAsia="zh-CN"/>
        </w:rPr>
      </w:pPr>
      <w:r>
        <w:rPr>
          <w:rFonts w:hint="eastAsia" w:ascii="宋体" w:hAnsi="宋体" w:eastAsia="宋体"/>
          <w:color w:val="auto"/>
          <w:szCs w:val="21"/>
          <w:highlight w:val="none"/>
          <w:lang w:eastAsia="zh-CN"/>
        </w:rPr>
        <w:t>（</w:t>
      </w:r>
      <w:r>
        <w:rPr>
          <w:rFonts w:hint="eastAsia" w:ascii="宋体" w:hAnsi="宋体" w:eastAsia="宋体"/>
          <w:color w:val="auto"/>
          <w:szCs w:val="21"/>
          <w:highlight w:val="none"/>
          <w:lang w:val="en-US" w:eastAsia="zh-CN"/>
        </w:rPr>
        <w:t>一</w:t>
      </w:r>
      <w:r>
        <w:rPr>
          <w:rFonts w:hint="eastAsia" w:ascii="宋体" w:hAnsi="宋体" w:eastAsia="宋体"/>
          <w:color w:val="auto"/>
          <w:szCs w:val="21"/>
          <w:highlight w:val="none"/>
          <w:lang w:eastAsia="zh-CN"/>
        </w:rPr>
        <w:t>）</w:t>
      </w:r>
      <w:r>
        <w:rPr>
          <w:rFonts w:hint="eastAsia" w:ascii="宋体" w:hAnsi="宋体" w:eastAsia="宋体"/>
          <w:color w:val="auto"/>
          <w:szCs w:val="21"/>
          <w:highlight w:val="none"/>
          <w:lang w:val="en-US" w:eastAsia="zh-CN"/>
        </w:rPr>
        <w:t>经甲乙双方约定，本项目维保期共计</w:t>
      </w:r>
      <w:r>
        <w:rPr>
          <w:rFonts w:hint="eastAsia" w:ascii="宋体" w:hAnsi="宋体" w:eastAsia="宋体"/>
          <w:color w:val="auto"/>
          <w:szCs w:val="21"/>
          <w:highlight w:val="none"/>
          <w:u w:val="single"/>
          <w:lang w:val="en-US" w:eastAsia="zh-CN"/>
        </w:rPr>
        <w:t xml:space="preserve">       </w:t>
      </w:r>
      <w:r>
        <w:rPr>
          <w:rFonts w:hint="eastAsia" w:ascii="宋体" w:hAnsi="宋体" w:eastAsia="宋体"/>
          <w:color w:val="auto"/>
          <w:szCs w:val="21"/>
          <w:highlight w:val="none"/>
        </w:rPr>
        <w:t>年</w:t>
      </w:r>
      <w:r>
        <w:rPr>
          <w:rFonts w:hint="eastAsia" w:ascii="宋体" w:hAnsi="宋体" w:eastAsia="宋体"/>
          <w:color w:val="auto"/>
          <w:szCs w:val="21"/>
          <w:highlight w:val="none"/>
          <w:lang w:eastAsia="zh-CN"/>
        </w:rPr>
        <w:t>，</w:t>
      </w:r>
      <w:r>
        <w:rPr>
          <w:rFonts w:hint="eastAsia" w:ascii="宋体" w:hAnsi="宋体" w:eastAsia="宋体"/>
          <w:color w:val="auto"/>
          <w:szCs w:val="21"/>
          <w:highlight w:val="none"/>
          <w:lang w:val="en-US" w:eastAsia="zh-CN"/>
        </w:rPr>
        <w:t>自     年    月   日起至   年   月  日止。</w:t>
      </w:r>
    </w:p>
    <w:p>
      <w:pPr>
        <w:pStyle w:val="15"/>
        <w:keepNext w:val="0"/>
        <w:keepLines w:val="0"/>
        <w:pageBreakBefore w:val="0"/>
        <w:widowControl/>
        <w:kinsoku/>
        <w:wordWrap/>
        <w:overflowPunct/>
        <w:topLinePunct w:val="0"/>
        <w:autoSpaceDE/>
        <w:autoSpaceDN/>
        <w:bidi w:val="0"/>
        <w:adjustRightInd/>
        <w:snapToGrid/>
        <w:spacing w:line="312" w:lineRule="auto"/>
        <w:ind w:firstLine="420" w:firstLineChars="200"/>
        <w:textAlignment w:val="auto"/>
        <w:rPr>
          <w:rFonts w:hint="eastAsia" w:ascii="宋体" w:hAnsi="宋体" w:eastAsia="宋体"/>
          <w:color w:val="auto"/>
          <w:szCs w:val="21"/>
          <w:highlight w:val="none"/>
        </w:rPr>
      </w:pPr>
      <w:r>
        <w:rPr>
          <w:rFonts w:hint="eastAsia" w:ascii="宋体" w:hAnsi="宋体" w:eastAsia="宋体"/>
          <w:color w:val="auto"/>
          <w:szCs w:val="21"/>
          <w:highlight w:val="none"/>
          <w:lang w:eastAsia="zh-CN"/>
        </w:rPr>
        <w:t>（</w:t>
      </w:r>
      <w:r>
        <w:rPr>
          <w:rFonts w:hint="eastAsia" w:ascii="宋体" w:hAnsi="宋体" w:eastAsia="宋体"/>
          <w:color w:val="auto"/>
          <w:szCs w:val="21"/>
          <w:highlight w:val="none"/>
          <w:lang w:val="en-US" w:eastAsia="zh-CN"/>
        </w:rPr>
        <w:t>二</w:t>
      </w:r>
      <w:r>
        <w:rPr>
          <w:rFonts w:hint="eastAsia" w:ascii="宋体" w:hAnsi="宋体" w:eastAsia="宋体"/>
          <w:color w:val="auto"/>
          <w:szCs w:val="21"/>
          <w:highlight w:val="none"/>
          <w:lang w:eastAsia="zh-CN"/>
        </w:rPr>
        <w:t>）</w:t>
      </w:r>
      <w:r>
        <w:rPr>
          <w:rFonts w:hint="eastAsia" w:ascii="宋体" w:hAnsi="宋体" w:eastAsia="宋体"/>
          <w:color w:val="auto"/>
          <w:szCs w:val="21"/>
          <w:highlight w:val="none"/>
          <w:lang w:val="en-US" w:eastAsia="zh-CN"/>
        </w:rPr>
        <w:t>针对甲方相关设备，</w:t>
      </w:r>
      <w:r>
        <w:rPr>
          <w:rFonts w:hint="eastAsia" w:ascii="宋体" w:hAnsi="宋体" w:eastAsia="宋体"/>
          <w:color w:val="auto"/>
          <w:szCs w:val="21"/>
          <w:highlight w:val="none"/>
        </w:rPr>
        <w:t>乙方承诺</w:t>
      </w:r>
      <w:r>
        <w:rPr>
          <w:rFonts w:hint="eastAsia" w:ascii="宋体" w:hAnsi="宋体" w:eastAsia="宋体"/>
          <w:color w:val="auto"/>
          <w:szCs w:val="21"/>
          <w:highlight w:val="none"/>
          <w:lang w:val="en-US" w:eastAsia="zh-CN"/>
        </w:rPr>
        <w:t>向甲方</w:t>
      </w:r>
      <w:r>
        <w:rPr>
          <w:rFonts w:hint="eastAsia" w:ascii="宋体" w:hAnsi="宋体" w:eastAsia="宋体"/>
          <w:color w:val="auto"/>
          <w:szCs w:val="21"/>
          <w:highlight w:val="none"/>
        </w:rPr>
        <w:t>提供</w:t>
      </w:r>
      <w:r>
        <w:rPr>
          <w:rFonts w:hint="eastAsia" w:ascii="宋体" w:hAnsi="宋体" w:eastAsia="宋体"/>
          <w:color w:val="auto"/>
          <w:szCs w:val="21"/>
          <w:highlight w:val="none"/>
          <w:lang w:val="en-US" w:eastAsia="zh-CN"/>
        </w:rPr>
        <w:t>的维保服务类型为：</w:t>
      </w:r>
      <w:r>
        <w:rPr>
          <w:rFonts w:hint="eastAsia" w:ascii="宋体" w:hAnsi="宋体" w:eastAsia="宋体"/>
          <w:color w:val="auto"/>
          <w:szCs w:val="21"/>
          <w:highlight w:val="none"/>
          <w:u w:val="single"/>
          <w:lang w:val="en-US" w:eastAsia="zh-CN"/>
        </w:rPr>
        <w:t xml:space="preserve">                     </w:t>
      </w:r>
      <w:r>
        <w:rPr>
          <w:rFonts w:hint="eastAsia" w:ascii="宋体" w:hAnsi="宋体" w:eastAsia="宋体"/>
          <w:color w:val="auto"/>
          <w:szCs w:val="21"/>
          <w:highlight w:val="none"/>
          <w:u w:val="single"/>
          <w:lang w:eastAsia="zh-CN"/>
        </w:rPr>
        <w:t>（</w:t>
      </w:r>
      <w:r>
        <w:rPr>
          <w:rFonts w:hint="eastAsia" w:ascii="宋体" w:hAnsi="宋体" w:eastAsia="宋体"/>
          <w:color w:val="auto"/>
          <w:szCs w:val="21"/>
          <w:highlight w:val="none"/>
          <w:u w:val="single"/>
          <w:lang w:val="en-US" w:eastAsia="zh-CN"/>
        </w:rPr>
        <w:t>维保类型</w:t>
      </w:r>
      <w:r>
        <w:rPr>
          <w:rFonts w:hint="eastAsia" w:ascii="宋体" w:hAnsi="宋体" w:eastAsia="宋体"/>
          <w:color w:val="auto"/>
          <w:szCs w:val="21"/>
          <w:highlight w:val="none"/>
          <w:u w:val="single"/>
          <w:lang w:eastAsia="zh-CN"/>
        </w:rPr>
        <w:t>）</w:t>
      </w:r>
      <w:r>
        <w:rPr>
          <w:rFonts w:hint="eastAsia" w:ascii="宋体" w:hAnsi="宋体" w:eastAsia="宋体"/>
          <w:color w:val="auto"/>
          <w:szCs w:val="21"/>
          <w:highlight w:val="none"/>
          <w:u w:val="none"/>
          <w:lang w:val="en-US" w:eastAsia="zh-CN"/>
        </w:rPr>
        <w:t>具体</w:t>
      </w:r>
      <w:r>
        <w:rPr>
          <w:rFonts w:hint="eastAsia" w:ascii="宋体" w:hAnsi="宋体" w:eastAsia="宋体"/>
          <w:color w:val="auto"/>
          <w:szCs w:val="21"/>
          <w:highlight w:val="none"/>
        </w:rPr>
        <w:t>内容如下：</w:t>
      </w:r>
    </w:p>
    <w:p>
      <w:pPr>
        <w:pStyle w:val="15"/>
        <w:keepNext w:val="0"/>
        <w:keepLines w:val="0"/>
        <w:pageBreakBefore w:val="0"/>
        <w:widowControl/>
        <w:kinsoku/>
        <w:wordWrap/>
        <w:overflowPunct/>
        <w:topLinePunct w:val="0"/>
        <w:autoSpaceDE/>
        <w:autoSpaceDN/>
        <w:bidi w:val="0"/>
        <w:adjustRightInd/>
        <w:snapToGrid/>
        <w:spacing w:line="312" w:lineRule="auto"/>
        <w:ind w:firstLine="420" w:firstLineChars="200"/>
        <w:textAlignment w:val="auto"/>
        <w:rPr>
          <w:rFonts w:hint="default" w:ascii="宋体" w:hAnsi="宋体" w:eastAsia="宋体"/>
          <w:color w:val="auto"/>
          <w:szCs w:val="21"/>
          <w:highlight w:val="none"/>
          <w:lang w:val="en-US" w:eastAsia="zh-CN"/>
        </w:rPr>
      </w:pPr>
      <w:r>
        <w:rPr>
          <w:rFonts w:hint="eastAsia" w:ascii="宋体" w:hAnsi="宋体" w:eastAsia="宋体"/>
          <w:color w:val="auto"/>
          <w:szCs w:val="21"/>
          <w:highlight w:val="none"/>
          <w:lang w:val="en-US" w:eastAsia="zh-CN"/>
        </w:rPr>
        <w:t>1、</w:t>
      </w:r>
      <w:r>
        <w:rPr>
          <w:rFonts w:hint="eastAsia" w:ascii="宋体" w:hAnsi="宋体" w:eastAsia="宋体"/>
          <w:color w:val="auto"/>
          <w:szCs w:val="21"/>
          <w:highlight w:val="none"/>
          <w:u w:val="single"/>
          <w:lang w:val="en-US" w:eastAsia="zh-CN"/>
        </w:rPr>
        <w:t xml:space="preserve">                        ；</w:t>
      </w:r>
    </w:p>
    <w:p>
      <w:pPr>
        <w:pStyle w:val="15"/>
        <w:keepNext w:val="0"/>
        <w:keepLines w:val="0"/>
        <w:pageBreakBefore w:val="0"/>
        <w:widowControl/>
        <w:kinsoku/>
        <w:wordWrap/>
        <w:overflowPunct/>
        <w:topLinePunct w:val="0"/>
        <w:autoSpaceDE/>
        <w:autoSpaceDN/>
        <w:bidi w:val="0"/>
        <w:adjustRightInd/>
        <w:snapToGrid/>
        <w:spacing w:line="312" w:lineRule="auto"/>
        <w:ind w:firstLine="420" w:firstLineChars="200"/>
        <w:textAlignment w:val="auto"/>
        <w:rPr>
          <w:rFonts w:hint="eastAsia" w:ascii="宋体" w:hAnsi="宋体" w:eastAsia="宋体"/>
          <w:color w:val="auto"/>
          <w:szCs w:val="21"/>
          <w:highlight w:val="none"/>
          <w:lang w:val="en-US" w:eastAsia="zh-CN"/>
        </w:rPr>
      </w:pPr>
      <w:r>
        <w:rPr>
          <w:rFonts w:hint="eastAsia" w:ascii="宋体" w:hAnsi="宋体" w:eastAsia="宋体"/>
          <w:color w:val="auto"/>
          <w:szCs w:val="21"/>
          <w:highlight w:val="none"/>
          <w:lang w:val="en-US" w:eastAsia="zh-CN"/>
        </w:rPr>
        <w:t>2、</w:t>
      </w:r>
      <w:r>
        <w:rPr>
          <w:rFonts w:hint="eastAsia" w:ascii="宋体" w:hAnsi="宋体" w:eastAsia="宋体"/>
          <w:color w:val="auto"/>
          <w:szCs w:val="21"/>
          <w:highlight w:val="none"/>
          <w:u w:val="single"/>
          <w:lang w:val="en-US" w:eastAsia="zh-CN"/>
        </w:rPr>
        <w:t xml:space="preserve">                        ；</w:t>
      </w:r>
    </w:p>
    <w:p>
      <w:pPr>
        <w:pStyle w:val="15"/>
        <w:keepNext w:val="0"/>
        <w:keepLines w:val="0"/>
        <w:pageBreakBefore w:val="0"/>
        <w:widowControl/>
        <w:kinsoku/>
        <w:wordWrap/>
        <w:overflowPunct/>
        <w:topLinePunct w:val="0"/>
        <w:autoSpaceDE/>
        <w:autoSpaceDN/>
        <w:bidi w:val="0"/>
        <w:adjustRightInd/>
        <w:snapToGrid/>
        <w:spacing w:line="312" w:lineRule="auto"/>
        <w:ind w:firstLine="420" w:firstLineChars="200"/>
        <w:textAlignment w:val="auto"/>
        <w:rPr>
          <w:rFonts w:hint="default" w:ascii="宋体" w:hAnsi="宋体" w:eastAsia="宋体"/>
          <w:color w:val="auto"/>
          <w:szCs w:val="21"/>
          <w:highlight w:val="none"/>
          <w:lang w:val="en-US" w:eastAsia="zh-CN"/>
        </w:rPr>
      </w:pPr>
      <w:r>
        <w:rPr>
          <w:rFonts w:hint="eastAsia" w:ascii="宋体" w:hAnsi="宋体" w:eastAsia="宋体"/>
          <w:color w:val="auto"/>
          <w:szCs w:val="21"/>
          <w:highlight w:val="none"/>
          <w:lang w:val="en-US" w:eastAsia="zh-CN"/>
        </w:rPr>
        <w:t>3、</w:t>
      </w:r>
      <w:r>
        <w:rPr>
          <w:rFonts w:hint="eastAsia" w:ascii="宋体" w:hAnsi="宋体" w:eastAsia="宋体"/>
          <w:color w:val="auto"/>
          <w:szCs w:val="21"/>
          <w:highlight w:val="none"/>
          <w:u w:val="single"/>
          <w:lang w:val="en-US" w:eastAsia="zh-CN"/>
        </w:rPr>
        <w:t xml:space="preserve">                        ；</w:t>
      </w:r>
    </w:p>
    <w:p>
      <w:pPr>
        <w:keepNext w:val="0"/>
        <w:keepLines w:val="0"/>
        <w:pageBreakBefore w:val="0"/>
        <w:kinsoku/>
        <w:wordWrap/>
        <w:overflowPunct/>
        <w:topLinePunct w:val="0"/>
        <w:autoSpaceDE/>
        <w:autoSpaceDN/>
        <w:bidi w:val="0"/>
        <w:adjustRightInd/>
        <w:spacing w:line="312" w:lineRule="auto"/>
        <w:ind w:firstLine="422" w:firstLineChars="200"/>
        <w:textAlignment w:val="auto"/>
        <w:rPr>
          <w:rFonts w:hint="eastAsia" w:cs="宋体"/>
          <w:b/>
          <w:color w:val="auto"/>
          <w:szCs w:val="21"/>
          <w:highlight w:val="none"/>
          <w:lang w:val="en-US" w:eastAsia="zh-CN" w:bidi="ar"/>
        </w:rPr>
      </w:pPr>
    </w:p>
    <w:p>
      <w:pPr>
        <w:keepNext w:val="0"/>
        <w:keepLines w:val="0"/>
        <w:pageBreakBefore w:val="0"/>
        <w:kinsoku/>
        <w:wordWrap/>
        <w:overflowPunct/>
        <w:topLinePunct w:val="0"/>
        <w:autoSpaceDE/>
        <w:autoSpaceDN/>
        <w:bidi w:val="0"/>
        <w:adjustRightInd/>
        <w:spacing w:line="312" w:lineRule="auto"/>
        <w:ind w:firstLine="422" w:firstLineChars="200"/>
        <w:textAlignment w:val="auto"/>
        <w:rPr>
          <w:rFonts w:hint="eastAsia" w:cs="宋体"/>
          <w:b/>
          <w:color w:val="auto"/>
          <w:szCs w:val="21"/>
          <w:highlight w:val="none"/>
          <w:lang w:bidi="ar"/>
        </w:rPr>
      </w:pPr>
      <w:r>
        <w:rPr>
          <w:rFonts w:hint="eastAsia" w:cs="宋体"/>
          <w:b/>
          <w:color w:val="auto"/>
          <w:szCs w:val="21"/>
          <w:highlight w:val="none"/>
          <w:lang w:val="en-US" w:eastAsia="zh-CN" w:bidi="ar"/>
        </w:rPr>
        <w:t>三、费用及</w:t>
      </w:r>
      <w:r>
        <w:rPr>
          <w:rFonts w:hint="eastAsia" w:cs="宋体"/>
          <w:b/>
          <w:color w:val="auto"/>
          <w:szCs w:val="21"/>
          <w:highlight w:val="none"/>
          <w:lang w:bidi="ar"/>
        </w:rPr>
        <w:t>支付方式</w:t>
      </w:r>
    </w:p>
    <w:p>
      <w:pPr>
        <w:pStyle w:val="15"/>
        <w:keepNext w:val="0"/>
        <w:keepLines w:val="0"/>
        <w:pageBreakBefore w:val="0"/>
        <w:widowControl/>
        <w:kinsoku/>
        <w:wordWrap/>
        <w:overflowPunct/>
        <w:topLinePunct w:val="0"/>
        <w:autoSpaceDE/>
        <w:autoSpaceDN/>
        <w:bidi w:val="0"/>
        <w:adjustRightInd/>
        <w:snapToGrid/>
        <w:spacing w:line="312" w:lineRule="auto"/>
        <w:ind w:firstLine="422"/>
        <w:textAlignment w:val="auto"/>
        <w:rPr>
          <w:rFonts w:hint="default" w:ascii="宋体" w:hAnsi="宋体" w:eastAsiaTheme="minorEastAsia"/>
          <w:color w:val="auto"/>
          <w:szCs w:val="21"/>
          <w:highlight w:val="none"/>
          <w:u w:val="none"/>
          <w:lang w:val="en-US" w:eastAsia="zh-CN"/>
        </w:rPr>
      </w:pPr>
      <w:r>
        <w:rPr>
          <w:rFonts w:hint="eastAsia" w:ascii="宋体" w:hAnsi="宋体" w:eastAsia="宋体"/>
          <w:color w:val="auto"/>
          <w:szCs w:val="21"/>
          <w:highlight w:val="none"/>
          <w:lang w:val="en-US" w:eastAsia="zh-CN"/>
        </w:rPr>
        <w:t>（一）本次维保服务费用共计人民币</w:t>
      </w:r>
      <w:r>
        <w:rPr>
          <w:rFonts w:hint="eastAsia" w:ascii="宋体" w:hAnsi="宋体" w:eastAsia="宋体"/>
          <w:color w:val="auto"/>
          <w:szCs w:val="21"/>
          <w:highlight w:val="none"/>
          <w:u w:val="single"/>
          <w:lang w:val="en-US" w:eastAsia="zh-CN"/>
        </w:rPr>
        <w:t xml:space="preserve">           </w:t>
      </w:r>
      <w:r>
        <w:rPr>
          <w:rFonts w:hint="eastAsia" w:ascii="宋体" w:hAnsi="宋体" w:eastAsia="宋体"/>
          <w:color w:val="auto"/>
          <w:szCs w:val="21"/>
          <w:highlight w:val="none"/>
          <w:u w:val="none"/>
          <w:lang w:val="en-US" w:eastAsia="zh-CN"/>
        </w:rPr>
        <w:t>元</w:t>
      </w:r>
      <w:r>
        <w:rPr>
          <w:rFonts w:hint="eastAsia" w:ascii="宋体" w:hAnsi="宋体" w:eastAsia="宋体"/>
          <w:color w:val="auto"/>
          <w:szCs w:val="21"/>
          <w:highlight w:val="none"/>
          <w:lang w:val="en-US" w:eastAsia="zh-CN"/>
        </w:rPr>
        <w:t>（小写），</w:t>
      </w:r>
      <w:r>
        <w:rPr>
          <w:rFonts w:hint="eastAsia" w:ascii="宋体" w:hAnsi="宋体" w:eastAsia="宋体"/>
          <w:color w:val="auto"/>
          <w:szCs w:val="21"/>
          <w:highlight w:val="none"/>
          <w:u w:val="single"/>
          <w:lang w:val="en-US" w:eastAsia="zh-CN"/>
        </w:rPr>
        <w:t xml:space="preserve">           </w:t>
      </w:r>
      <w:r>
        <w:rPr>
          <w:rFonts w:hint="eastAsia" w:ascii="宋体" w:hAnsi="宋体" w:eastAsia="宋体"/>
          <w:color w:val="auto"/>
          <w:szCs w:val="21"/>
          <w:highlight w:val="none"/>
          <w:lang w:val="en-US" w:eastAsia="zh-CN"/>
        </w:rPr>
        <w:t>（大写）。</w:t>
      </w:r>
      <w:r>
        <w:rPr>
          <w:rFonts w:hint="eastAsia"/>
          <w:color w:val="auto"/>
          <w:szCs w:val="21"/>
          <w:highlight w:val="none"/>
          <w:u w:val="none"/>
        </w:rPr>
        <w:t>上述费用包含维修件、人工费等维修服务中产生的全部费用。</w:t>
      </w:r>
      <w:r>
        <w:rPr>
          <w:rFonts w:hint="eastAsia"/>
          <w:color w:val="auto"/>
          <w:szCs w:val="21"/>
          <w:highlight w:val="none"/>
          <w:u w:val="none"/>
          <w:lang w:val="en-US" w:eastAsia="zh-CN"/>
        </w:rPr>
        <w:t>合同期内若因机器报废或其他原因导致不再列入维保范围的，则相应维保费用应当予以扣减并据实结算。</w:t>
      </w:r>
    </w:p>
    <w:p>
      <w:pPr>
        <w:pStyle w:val="15"/>
        <w:keepNext w:val="0"/>
        <w:keepLines w:val="0"/>
        <w:pageBreakBefore w:val="0"/>
        <w:widowControl/>
        <w:kinsoku/>
        <w:wordWrap/>
        <w:overflowPunct/>
        <w:topLinePunct w:val="0"/>
        <w:autoSpaceDE/>
        <w:autoSpaceDN/>
        <w:bidi w:val="0"/>
        <w:adjustRightInd/>
        <w:snapToGrid/>
        <w:spacing w:line="312" w:lineRule="auto"/>
        <w:ind w:firstLine="422"/>
        <w:textAlignment w:val="auto"/>
        <w:rPr>
          <w:rFonts w:hint="eastAsia" w:ascii="宋体" w:hAnsi="宋体" w:eastAsia="宋体"/>
          <w:color w:val="auto"/>
          <w:szCs w:val="21"/>
          <w:highlight w:val="none"/>
          <w:lang w:val="en-US" w:eastAsia="zh-CN"/>
        </w:rPr>
      </w:pPr>
      <w:r>
        <w:rPr>
          <w:rFonts w:hint="eastAsia" w:ascii="宋体" w:hAnsi="宋体" w:eastAsia="宋体"/>
          <w:color w:val="auto"/>
          <w:szCs w:val="21"/>
          <w:highlight w:val="none"/>
          <w:lang w:val="en-US" w:eastAsia="zh-CN"/>
        </w:rPr>
        <w:t>（二）付款方式 ：</w:t>
      </w:r>
    </w:p>
    <w:p>
      <w:pPr>
        <w:pStyle w:val="22"/>
        <w:keepNext w:val="0"/>
        <w:keepLines w:val="0"/>
        <w:pageBreakBefore w:val="0"/>
        <w:widowControl/>
        <w:numPr>
          <w:ilvl w:val="0"/>
          <w:numId w:val="0"/>
        </w:numPr>
        <w:kinsoku/>
        <w:wordWrap/>
        <w:overflowPunct/>
        <w:topLinePunct w:val="0"/>
        <w:autoSpaceDE/>
        <w:autoSpaceDN/>
        <w:bidi w:val="0"/>
        <w:adjustRightInd/>
        <w:snapToGrid/>
        <w:spacing w:line="312" w:lineRule="auto"/>
        <w:ind w:left="0" w:leftChars="0" w:firstLine="420" w:firstLineChars="200"/>
        <w:textAlignment w:val="auto"/>
        <w:rPr>
          <w:rFonts w:ascii="宋体" w:hAnsi="宋体" w:eastAsia="宋体"/>
          <w:color w:val="auto"/>
          <w:sz w:val="21"/>
          <w:szCs w:val="21"/>
          <w:highlight w:val="none"/>
        </w:rPr>
      </w:pPr>
      <w:r>
        <w:rPr>
          <w:rFonts w:hint="eastAsia" w:ascii="宋体" w:hAnsi="宋体"/>
          <w:color w:val="auto"/>
          <w:szCs w:val="21"/>
          <w:highlight w:val="none"/>
          <w:lang w:val="en-US" w:eastAsia="zh-CN"/>
        </w:rPr>
        <w:t>先服务后付款，</w:t>
      </w:r>
      <w:r>
        <w:rPr>
          <w:rFonts w:hint="eastAsia" w:ascii="宋体" w:hAnsi="宋体"/>
          <w:color w:val="auto"/>
          <w:szCs w:val="21"/>
          <w:highlight w:val="none"/>
          <w:lang w:eastAsia="zh-CN"/>
        </w:rPr>
        <w:t>每年支付 1 次（次年度支付上一年度</w:t>
      </w:r>
      <w:r>
        <w:rPr>
          <w:rFonts w:hint="eastAsia" w:ascii="宋体" w:hAnsi="宋体"/>
          <w:color w:val="auto"/>
          <w:szCs w:val="21"/>
          <w:highlight w:val="none"/>
          <w:lang w:val="en-US" w:eastAsia="zh-CN"/>
        </w:rPr>
        <w:t>维保服务费用</w:t>
      </w:r>
      <w:r>
        <w:rPr>
          <w:rFonts w:hint="eastAsia" w:ascii="宋体" w:hAnsi="宋体"/>
          <w:color w:val="auto"/>
          <w:szCs w:val="21"/>
          <w:highlight w:val="none"/>
          <w:lang w:eastAsia="zh-CN"/>
        </w:rPr>
        <w:t>）</w:t>
      </w:r>
      <w:r>
        <w:rPr>
          <w:rFonts w:hint="eastAsia" w:ascii="宋体" w:hAnsi="宋体"/>
          <w:color w:val="auto"/>
          <w:szCs w:val="21"/>
          <w:highlight w:val="none"/>
          <w:lang w:val="en-US" w:eastAsia="zh-CN"/>
        </w:rPr>
        <w:t>。维保期开始后</w:t>
      </w:r>
      <w:r>
        <w:rPr>
          <w:rFonts w:hint="eastAsia" w:ascii="宋体" w:hAnsi="宋体"/>
          <w:color w:val="auto"/>
          <w:szCs w:val="21"/>
          <w:highlight w:val="none"/>
          <w:lang w:eastAsia="zh-CN"/>
        </w:rPr>
        <w:t>，乙方按计划</w:t>
      </w:r>
      <w:r>
        <w:rPr>
          <w:rFonts w:hint="eastAsia" w:ascii="宋体" w:hAnsi="宋体"/>
          <w:color w:val="auto"/>
          <w:szCs w:val="21"/>
          <w:highlight w:val="none"/>
          <w:lang w:val="en-US" w:eastAsia="zh-CN"/>
        </w:rPr>
        <w:t>维护</w:t>
      </w:r>
      <w:r>
        <w:rPr>
          <w:rFonts w:hint="eastAsia" w:ascii="宋体" w:hAnsi="宋体"/>
          <w:color w:val="auto"/>
          <w:szCs w:val="21"/>
          <w:highlight w:val="none"/>
          <w:lang w:eastAsia="zh-CN"/>
        </w:rPr>
        <w:t>保养。</w:t>
      </w:r>
      <w:r>
        <w:rPr>
          <w:rFonts w:hint="eastAsia" w:ascii="宋体" w:hAnsi="宋体"/>
          <w:color w:val="auto"/>
          <w:szCs w:val="21"/>
          <w:highlight w:val="none"/>
          <w:lang w:val="en-US" w:eastAsia="zh-CN"/>
        </w:rPr>
        <w:t>每年维保期结束并经甲方验收合格后方可付款。</w:t>
      </w:r>
      <w:r>
        <w:rPr>
          <w:rFonts w:hint="eastAsia" w:ascii="宋体" w:hAnsi="宋体"/>
          <w:color w:val="auto"/>
          <w:szCs w:val="21"/>
          <w:highlight w:val="none"/>
        </w:rPr>
        <w:t>付款前，乙方须向甲方提供有效合规的含税发票（发票须满足甲方的要求）和</w:t>
      </w:r>
      <w:r>
        <w:rPr>
          <w:rFonts w:hint="eastAsia" w:ascii="宋体" w:hAnsi="宋体"/>
          <w:b/>
          <w:bCs/>
          <w:color w:val="auto"/>
          <w:szCs w:val="21"/>
          <w:highlight w:val="none"/>
          <w:u w:val="single"/>
        </w:rPr>
        <w:t>甲乙双方签字盖章的合同</w:t>
      </w:r>
      <w:r>
        <w:rPr>
          <w:rFonts w:hint="eastAsia" w:ascii="宋体" w:hAnsi="宋体"/>
          <w:color w:val="auto"/>
          <w:szCs w:val="21"/>
          <w:highlight w:val="none"/>
        </w:rPr>
        <w:t>，否则甲方有权拒付款</w:t>
      </w:r>
      <w:r>
        <w:rPr>
          <w:rFonts w:hint="eastAsia" w:ascii="宋体" w:hAnsi="宋体"/>
          <w:color w:val="auto"/>
          <w:szCs w:val="21"/>
          <w:highlight w:val="none"/>
          <w:lang w:eastAsia="zh-CN"/>
        </w:rPr>
        <w:t>。</w:t>
      </w:r>
      <w:r>
        <w:rPr>
          <w:rFonts w:hint="eastAsia" w:ascii="宋体" w:hAnsi="宋体" w:cs="宋体"/>
          <w:b/>
          <w:color w:val="auto"/>
          <w:sz w:val="21"/>
          <w:szCs w:val="21"/>
          <w:highlight w:val="none"/>
          <w:lang w:eastAsia="zh-CN"/>
        </w:rPr>
        <w:t>甲方收到发票后在一个月</w:t>
      </w:r>
      <w:r>
        <w:rPr>
          <w:rFonts w:hint="eastAsia" w:ascii="宋体" w:hAnsi="宋体" w:cs="宋体"/>
          <w:b/>
          <w:color w:val="auto"/>
          <w:sz w:val="21"/>
          <w:szCs w:val="21"/>
          <w:highlight w:val="none"/>
          <w:lang w:val="en-US" w:eastAsia="zh-CN"/>
        </w:rPr>
        <w:t>内</w:t>
      </w:r>
      <w:r>
        <w:rPr>
          <w:rFonts w:hint="eastAsia" w:ascii="宋体" w:hAnsi="宋体" w:cs="宋体"/>
          <w:b/>
          <w:color w:val="auto"/>
          <w:sz w:val="21"/>
          <w:szCs w:val="21"/>
          <w:highlight w:val="none"/>
          <w:lang w:eastAsia="zh-CN"/>
        </w:rPr>
        <w:t>支付</w:t>
      </w:r>
      <w:r>
        <w:rPr>
          <w:rFonts w:hint="eastAsia" w:ascii="宋体" w:hAnsi="宋体" w:cs="宋体"/>
          <w:b/>
          <w:color w:val="auto"/>
          <w:sz w:val="21"/>
          <w:szCs w:val="21"/>
          <w:highlight w:val="none"/>
          <w:lang w:val="en-US" w:eastAsia="zh-CN"/>
        </w:rPr>
        <w:t>费用</w:t>
      </w:r>
      <w:r>
        <w:rPr>
          <w:rFonts w:hint="eastAsia" w:ascii="宋体" w:hAnsi="宋体" w:cs="宋体"/>
          <w:b/>
          <w:color w:val="auto"/>
          <w:sz w:val="21"/>
          <w:szCs w:val="21"/>
          <w:highlight w:val="none"/>
          <w:lang w:eastAsia="zh-CN"/>
        </w:rPr>
        <w:t>。</w:t>
      </w:r>
    </w:p>
    <w:p>
      <w:pPr>
        <w:pStyle w:val="22"/>
        <w:keepNext w:val="0"/>
        <w:keepLines w:val="0"/>
        <w:pageBreakBefore w:val="0"/>
        <w:widowControl/>
        <w:numPr>
          <w:ilvl w:val="0"/>
          <w:numId w:val="0"/>
        </w:numPr>
        <w:kinsoku/>
        <w:wordWrap/>
        <w:overflowPunct/>
        <w:topLinePunct w:val="0"/>
        <w:autoSpaceDE/>
        <w:autoSpaceDN/>
        <w:bidi w:val="0"/>
        <w:adjustRightInd/>
        <w:snapToGrid/>
        <w:spacing w:line="312" w:lineRule="auto"/>
        <w:ind w:left="0" w:leftChars="0" w:firstLine="420" w:firstLineChars="200"/>
        <w:textAlignment w:val="auto"/>
        <w:rPr>
          <w:rFonts w:hint="eastAsia" w:ascii="宋体" w:hAnsi="宋体" w:eastAsia="宋体"/>
          <w:color w:val="auto"/>
          <w:sz w:val="21"/>
          <w:szCs w:val="21"/>
          <w:highlight w:val="none"/>
          <w:lang w:eastAsia="zh-CN"/>
        </w:rPr>
      </w:pPr>
      <w:r>
        <w:rPr>
          <w:rFonts w:hint="eastAsia" w:ascii="宋体" w:hAnsi="宋体" w:eastAsia="宋体"/>
          <w:color w:val="auto"/>
          <w:sz w:val="21"/>
          <w:szCs w:val="21"/>
          <w:highlight w:val="none"/>
        </w:rPr>
        <w:t>第一期（自</w:t>
      </w:r>
      <w:r>
        <w:rPr>
          <w:rFonts w:hint="eastAsia" w:ascii="宋体" w:hAnsi="宋体" w:eastAsia="宋体"/>
          <w:color w:val="auto"/>
          <w:sz w:val="21"/>
          <w:szCs w:val="21"/>
          <w:highlight w:val="none"/>
          <w:u w:val="single"/>
          <w:lang w:val="en-US" w:eastAsia="zh-CN"/>
        </w:rPr>
        <w:t xml:space="preserve">     </w:t>
      </w:r>
      <w:r>
        <w:rPr>
          <w:rFonts w:hint="eastAsia" w:ascii="宋体" w:hAnsi="宋体" w:eastAsia="宋体"/>
          <w:color w:val="auto"/>
          <w:sz w:val="21"/>
          <w:szCs w:val="21"/>
          <w:highlight w:val="none"/>
        </w:rPr>
        <w:t>年</w:t>
      </w:r>
      <w:r>
        <w:rPr>
          <w:rFonts w:hint="eastAsia" w:ascii="宋体" w:hAnsi="宋体" w:eastAsia="宋体"/>
          <w:color w:val="auto"/>
          <w:sz w:val="21"/>
          <w:szCs w:val="21"/>
          <w:highlight w:val="none"/>
          <w:u w:val="single"/>
          <w:lang w:val="en-US" w:eastAsia="zh-CN"/>
        </w:rPr>
        <w:t xml:space="preserve">   </w:t>
      </w:r>
      <w:r>
        <w:rPr>
          <w:rFonts w:hint="eastAsia" w:ascii="宋体" w:hAnsi="宋体" w:eastAsia="宋体"/>
          <w:color w:val="auto"/>
          <w:sz w:val="21"/>
          <w:szCs w:val="21"/>
          <w:highlight w:val="none"/>
        </w:rPr>
        <w:t>月</w:t>
      </w:r>
      <w:r>
        <w:rPr>
          <w:rFonts w:hint="eastAsia" w:ascii="宋体" w:hAnsi="宋体" w:eastAsia="宋体"/>
          <w:color w:val="auto"/>
          <w:sz w:val="21"/>
          <w:szCs w:val="21"/>
          <w:highlight w:val="none"/>
          <w:u w:val="single"/>
          <w:lang w:val="en-US" w:eastAsia="zh-CN"/>
        </w:rPr>
        <w:t xml:space="preserve">   </w:t>
      </w:r>
      <w:r>
        <w:rPr>
          <w:rFonts w:hint="eastAsia" w:ascii="宋体" w:hAnsi="宋体" w:eastAsia="宋体"/>
          <w:color w:val="auto"/>
          <w:sz w:val="21"/>
          <w:szCs w:val="21"/>
          <w:highlight w:val="none"/>
        </w:rPr>
        <w:t>日起至</w:t>
      </w:r>
      <w:r>
        <w:rPr>
          <w:rFonts w:hint="eastAsia" w:ascii="宋体" w:hAnsi="宋体" w:eastAsia="宋体"/>
          <w:color w:val="auto"/>
          <w:sz w:val="21"/>
          <w:szCs w:val="21"/>
          <w:highlight w:val="none"/>
          <w:u w:val="single"/>
          <w:lang w:val="en-US" w:eastAsia="zh-CN"/>
        </w:rPr>
        <w:t xml:space="preserve">     </w:t>
      </w:r>
      <w:r>
        <w:rPr>
          <w:rFonts w:hint="eastAsia" w:ascii="宋体" w:hAnsi="宋体" w:eastAsia="宋体"/>
          <w:color w:val="auto"/>
          <w:sz w:val="21"/>
          <w:szCs w:val="21"/>
          <w:highlight w:val="none"/>
        </w:rPr>
        <w:t>年</w:t>
      </w:r>
      <w:r>
        <w:rPr>
          <w:rFonts w:hint="eastAsia" w:ascii="宋体" w:hAnsi="宋体" w:eastAsia="宋体"/>
          <w:color w:val="auto"/>
          <w:sz w:val="21"/>
          <w:szCs w:val="21"/>
          <w:highlight w:val="none"/>
          <w:u w:val="single"/>
          <w:lang w:val="en-US" w:eastAsia="zh-CN"/>
        </w:rPr>
        <w:t xml:space="preserve">   </w:t>
      </w:r>
      <w:r>
        <w:rPr>
          <w:rFonts w:hint="eastAsia" w:ascii="宋体" w:hAnsi="宋体" w:eastAsia="宋体"/>
          <w:color w:val="auto"/>
          <w:sz w:val="21"/>
          <w:szCs w:val="21"/>
          <w:highlight w:val="none"/>
        </w:rPr>
        <w:t>月</w:t>
      </w:r>
      <w:r>
        <w:rPr>
          <w:rFonts w:hint="eastAsia" w:ascii="宋体" w:hAnsi="宋体" w:eastAsia="宋体"/>
          <w:color w:val="auto"/>
          <w:sz w:val="21"/>
          <w:szCs w:val="21"/>
          <w:highlight w:val="none"/>
          <w:u w:val="single"/>
          <w:lang w:val="en-US" w:eastAsia="zh-CN"/>
        </w:rPr>
        <w:t xml:space="preserve">   </w:t>
      </w:r>
      <w:r>
        <w:rPr>
          <w:rFonts w:hint="eastAsia" w:ascii="宋体" w:hAnsi="宋体" w:eastAsia="宋体"/>
          <w:color w:val="auto"/>
          <w:sz w:val="21"/>
          <w:szCs w:val="21"/>
          <w:highlight w:val="none"/>
        </w:rPr>
        <w:t>日止）</w:t>
      </w:r>
      <w:r>
        <w:rPr>
          <w:rFonts w:hint="eastAsia" w:ascii="宋体" w:hAnsi="宋体" w:eastAsia="宋体"/>
          <w:color w:val="auto"/>
          <w:sz w:val="21"/>
          <w:szCs w:val="21"/>
          <w:highlight w:val="none"/>
          <w:lang w:eastAsia="zh-CN"/>
        </w:rPr>
        <w:t>，</w:t>
      </w:r>
      <w:r>
        <w:rPr>
          <w:rFonts w:hint="eastAsia" w:ascii="宋体" w:hAnsi="宋体" w:eastAsia="宋体"/>
          <w:color w:val="auto"/>
          <w:sz w:val="21"/>
          <w:szCs w:val="21"/>
          <w:highlight w:val="none"/>
        </w:rPr>
        <w:t>维保服务费</w:t>
      </w:r>
      <w:r>
        <w:rPr>
          <w:rFonts w:hint="eastAsia" w:ascii="宋体" w:hAnsi="宋体" w:eastAsia="宋体"/>
          <w:color w:val="auto"/>
          <w:szCs w:val="21"/>
          <w:highlight w:val="none"/>
          <w:lang w:val="en-US" w:eastAsia="zh-CN"/>
        </w:rPr>
        <w:t>人民币</w:t>
      </w:r>
      <w:r>
        <w:rPr>
          <w:rFonts w:hint="eastAsia" w:ascii="宋体" w:hAnsi="宋体" w:eastAsia="宋体"/>
          <w:color w:val="auto"/>
          <w:szCs w:val="21"/>
          <w:highlight w:val="none"/>
          <w:u w:val="single"/>
          <w:lang w:val="en-US" w:eastAsia="zh-CN"/>
        </w:rPr>
        <w:t xml:space="preserve">          </w:t>
      </w:r>
      <w:r>
        <w:rPr>
          <w:rFonts w:hint="eastAsia" w:ascii="宋体" w:hAnsi="宋体" w:eastAsia="宋体"/>
          <w:color w:val="auto"/>
          <w:szCs w:val="21"/>
          <w:highlight w:val="none"/>
          <w:u w:val="none"/>
          <w:lang w:val="en-US" w:eastAsia="zh-CN"/>
        </w:rPr>
        <w:t>元</w:t>
      </w:r>
      <w:r>
        <w:rPr>
          <w:rFonts w:hint="eastAsia" w:ascii="宋体" w:hAnsi="宋体" w:eastAsia="宋体"/>
          <w:color w:val="auto"/>
          <w:szCs w:val="21"/>
          <w:highlight w:val="none"/>
          <w:lang w:val="en-US" w:eastAsia="zh-CN"/>
        </w:rPr>
        <w:t>（小写），</w:t>
      </w:r>
      <w:r>
        <w:rPr>
          <w:rFonts w:hint="eastAsia" w:ascii="宋体" w:hAnsi="宋体" w:eastAsia="宋体"/>
          <w:color w:val="auto"/>
          <w:szCs w:val="21"/>
          <w:highlight w:val="none"/>
          <w:u w:val="single"/>
          <w:lang w:val="en-US" w:eastAsia="zh-CN"/>
        </w:rPr>
        <w:t xml:space="preserve">           </w:t>
      </w:r>
      <w:r>
        <w:rPr>
          <w:rFonts w:hint="eastAsia" w:ascii="宋体" w:hAnsi="宋体" w:eastAsia="宋体"/>
          <w:color w:val="auto"/>
          <w:szCs w:val="21"/>
          <w:highlight w:val="none"/>
          <w:lang w:val="en-US" w:eastAsia="zh-CN"/>
        </w:rPr>
        <w:t>（大写）</w:t>
      </w:r>
      <w:r>
        <w:rPr>
          <w:rFonts w:hint="eastAsia" w:ascii="宋体" w:hAnsi="宋体" w:eastAsia="宋体"/>
          <w:color w:val="auto"/>
          <w:sz w:val="21"/>
          <w:szCs w:val="21"/>
          <w:highlight w:val="none"/>
          <w:lang w:eastAsia="zh-CN"/>
        </w:rPr>
        <w:t>；</w:t>
      </w:r>
    </w:p>
    <w:p>
      <w:pPr>
        <w:pStyle w:val="22"/>
        <w:keepNext w:val="0"/>
        <w:keepLines w:val="0"/>
        <w:pageBreakBefore w:val="0"/>
        <w:widowControl/>
        <w:numPr>
          <w:ilvl w:val="0"/>
          <w:numId w:val="0"/>
        </w:numPr>
        <w:kinsoku/>
        <w:wordWrap/>
        <w:overflowPunct/>
        <w:topLinePunct w:val="0"/>
        <w:autoSpaceDE/>
        <w:autoSpaceDN/>
        <w:bidi w:val="0"/>
        <w:adjustRightInd/>
        <w:snapToGrid/>
        <w:spacing w:line="312" w:lineRule="auto"/>
        <w:ind w:left="0" w:leftChars="0" w:firstLine="420" w:firstLineChars="200"/>
        <w:textAlignment w:val="auto"/>
        <w:rPr>
          <w:rFonts w:hint="eastAsia" w:ascii="宋体" w:hAnsi="宋体" w:eastAsia="宋体"/>
          <w:color w:val="auto"/>
          <w:sz w:val="21"/>
          <w:szCs w:val="21"/>
          <w:highlight w:val="none"/>
          <w:lang w:eastAsia="zh-CN"/>
        </w:rPr>
      </w:pPr>
      <w:r>
        <w:rPr>
          <w:rFonts w:hint="eastAsia" w:ascii="宋体" w:hAnsi="宋体" w:eastAsia="宋体"/>
          <w:color w:val="auto"/>
          <w:sz w:val="21"/>
          <w:szCs w:val="21"/>
          <w:highlight w:val="none"/>
        </w:rPr>
        <w:t>第</w:t>
      </w:r>
      <w:r>
        <w:rPr>
          <w:rFonts w:hint="eastAsia" w:ascii="宋体" w:hAnsi="宋体" w:eastAsia="宋体"/>
          <w:color w:val="auto"/>
          <w:sz w:val="21"/>
          <w:szCs w:val="21"/>
          <w:highlight w:val="none"/>
          <w:lang w:val="en-US" w:eastAsia="zh-CN"/>
        </w:rPr>
        <w:t>二</w:t>
      </w:r>
      <w:r>
        <w:rPr>
          <w:rFonts w:hint="eastAsia" w:ascii="宋体" w:hAnsi="宋体" w:eastAsia="宋体"/>
          <w:color w:val="auto"/>
          <w:sz w:val="21"/>
          <w:szCs w:val="21"/>
          <w:highlight w:val="none"/>
        </w:rPr>
        <w:t>期（自</w:t>
      </w:r>
      <w:r>
        <w:rPr>
          <w:rFonts w:hint="eastAsia" w:ascii="宋体" w:hAnsi="宋体" w:eastAsia="宋体"/>
          <w:color w:val="auto"/>
          <w:sz w:val="21"/>
          <w:szCs w:val="21"/>
          <w:highlight w:val="none"/>
          <w:u w:val="single"/>
          <w:lang w:val="en-US" w:eastAsia="zh-CN"/>
        </w:rPr>
        <w:t xml:space="preserve">     </w:t>
      </w:r>
      <w:r>
        <w:rPr>
          <w:rFonts w:hint="eastAsia" w:ascii="宋体" w:hAnsi="宋体" w:eastAsia="宋体"/>
          <w:color w:val="auto"/>
          <w:sz w:val="21"/>
          <w:szCs w:val="21"/>
          <w:highlight w:val="none"/>
        </w:rPr>
        <w:t>年</w:t>
      </w:r>
      <w:r>
        <w:rPr>
          <w:rFonts w:hint="eastAsia" w:ascii="宋体" w:hAnsi="宋体" w:eastAsia="宋体"/>
          <w:color w:val="auto"/>
          <w:sz w:val="21"/>
          <w:szCs w:val="21"/>
          <w:highlight w:val="none"/>
          <w:u w:val="single"/>
          <w:lang w:val="en-US" w:eastAsia="zh-CN"/>
        </w:rPr>
        <w:t xml:space="preserve">   </w:t>
      </w:r>
      <w:r>
        <w:rPr>
          <w:rFonts w:hint="eastAsia" w:ascii="宋体" w:hAnsi="宋体" w:eastAsia="宋体"/>
          <w:color w:val="auto"/>
          <w:sz w:val="21"/>
          <w:szCs w:val="21"/>
          <w:highlight w:val="none"/>
        </w:rPr>
        <w:t>月</w:t>
      </w:r>
      <w:r>
        <w:rPr>
          <w:rFonts w:hint="eastAsia" w:ascii="宋体" w:hAnsi="宋体" w:eastAsia="宋体"/>
          <w:color w:val="auto"/>
          <w:sz w:val="21"/>
          <w:szCs w:val="21"/>
          <w:highlight w:val="none"/>
          <w:u w:val="single"/>
          <w:lang w:val="en-US" w:eastAsia="zh-CN"/>
        </w:rPr>
        <w:t xml:space="preserve">   </w:t>
      </w:r>
      <w:r>
        <w:rPr>
          <w:rFonts w:hint="eastAsia" w:ascii="宋体" w:hAnsi="宋体" w:eastAsia="宋体"/>
          <w:color w:val="auto"/>
          <w:sz w:val="21"/>
          <w:szCs w:val="21"/>
          <w:highlight w:val="none"/>
        </w:rPr>
        <w:t>日起至</w:t>
      </w:r>
      <w:r>
        <w:rPr>
          <w:rFonts w:hint="eastAsia" w:ascii="宋体" w:hAnsi="宋体" w:eastAsia="宋体"/>
          <w:color w:val="auto"/>
          <w:sz w:val="21"/>
          <w:szCs w:val="21"/>
          <w:highlight w:val="none"/>
          <w:u w:val="single"/>
          <w:lang w:val="en-US" w:eastAsia="zh-CN"/>
        </w:rPr>
        <w:t xml:space="preserve">     </w:t>
      </w:r>
      <w:r>
        <w:rPr>
          <w:rFonts w:hint="eastAsia" w:ascii="宋体" w:hAnsi="宋体" w:eastAsia="宋体"/>
          <w:color w:val="auto"/>
          <w:sz w:val="21"/>
          <w:szCs w:val="21"/>
          <w:highlight w:val="none"/>
        </w:rPr>
        <w:t>年</w:t>
      </w:r>
      <w:r>
        <w:rPr>
          <w:rFonts w:hint="eastAsia" w:ascii="宋体" w:hAnsi="宋体" w:eastAsia="宋体"/>
          <w:color w:val="auto"/>
          <w:sz w:val="21"/>
          <w:szCs w:val="21"/>
          <w:highlight w:val="none"/>
          <w:u w:val="single"/>
          <w:lang w:val="en-US" w:eastAsia="zh-CN"/>
        </w:rPr>
        <w:t xml:space="preserve">   </w:t>
      </w:r>
      <w:r>
        <w:rPr>
          <w:rFonts w:hint="eastAsia" w:ascii="宋体" w:hAnsi="宋体" w:eastAsia="宋体"/>
          <w:color w:val="auto"/>
          <w:sz w:val="21"/>
          <w:szCs w:val="21"/>
          <w:highlight w:val="none"/>
        </w:rPr>
        <w:t>月</w:t>
      </w:r>
      <w:r>
        <w:rPr>
          <w:rFonts w:hint="eastAsia" w:ascii="宋体" w:hAnsi="宋体" w:eastAsia="宋体"/>
          <w:color w:val="auto"/>
          <w:sz w:val="21"/>
          <w:szCs w:val="21"/>
          <w:highlight w:val="none"/>
          <w:u w:val="single"/>
          <w:lang w:val="en-US" w:eastAsia="zh-CN"/>
        </w:rPr>
        <w:t xml:space="preserve">   </w:t>
      </w:r>
      <w:r>
        <w:rPr>
          <w:rFonts w:hint="eastAsia" w:ascii="宋体" w:hAnsi="宋体" w:eastAsia="宋体"/>
          <w:color w:val="auto"/>
          <w:sz w:val="21"/>
          <w:szCs w:val="21"/>
          <w:highlight w:val="none"/>
        </w:rPr>
        <w:t>日止）</w:t>
      </w:r>
      <w:r>
        <w:rPr>
          <w:rFonts w:hint="eastAsia" w:ascii="宋体" w:hAnsi="宋体" w:eastAsia="宋体"/>
          <w:color w:val="auto"/>
          <w:sz w:val="21"/>
          <w:szCs w:val="21"/>
          <w:highlight w:val="none"/>
          <w:lang w:eastAsia="zh-CN"/>
        </w:rPr>
        <w:t>，</w:t>
      </w:r>
      <w:r>
        <w:rPr>
          <w:rFonts w:hint="eastAsia" w:ascii="宋体" w:hAnsi="宋体" w:eastAsia="宋体"/>
          <w:color w:val="auto"/>
          <w:sz w:val="21"/>
          <w:szCs w:val="21"/>
          <w:highlight w:val="none"/>
        </w:rPr>
        <w:t>维保服务费</w:t>
      </w:r>
      <w:r>
        <w:rPr>
          <w:rFonts w:hint="eastAsia" w:ascii="宋体" w:hAnsi="宋体" w:eastAsia="宋体"/>
          <w:color w:val="auto"/>
          <w:szCs w:val="21"/>
          <w:highlight w:val="none"/>
          <w:lang w:val="en-US" w:eastAsia="zh-CN"/>
        </w:rPr>
        <w:t>人民币</w:t>
      </w:r>
      <w:r>
        <w:rPr>
          <w:rFonts w:hint="eastAsia" w:ascii="宋体" w:hAnsi="宋体" w:eastAsia="宋体"/>
          <w:color w:val="auto"/>
          <w:szCs w:val="21"/>
          <w:highlight w:val="none"/>
          <w:u w:val="single"/>
          <w:lang w:val="en-US" w:eastAsia="zh-CN"/>
        </w:rPr>
        <w:t xml:space="preserve">          </w:t>
      </w:r>
      <w:r>
        <w:rPr>
          <w:rFonts w:hint="eastAsia" w:ascii="宋体" w:hAnsi="宋体" w:eastAsia="宋体"/>
          <w:color w:val="auto"/>
          <w:szCs w:val="21"/>
          <w:highlight w:val="none"/>
          <w:u w:val="none"/>
          <w:lang w:val="en-US" w:eastAsia="zh-CN"/>
        </w:rPr>
        <w:t>元</w:t>
      </w:r>
      <w:r>
        <w:rPr>
          <w:rFonts w:hint="eastAsia" w:ascii="宋体" w:hAnsi="宋体" w:eastAsia="宋体"/>
          <w:color w:val="auto"/>
          <w:szCs w:val="21"/>
          <w:highlight w:val="none"/>
          <w:lang w:val="en-US" w:eastAsia="zh-CN"/>
        </w:rPr>
        <w:t>（小写），</w:t>
      </w:r>
      <w:r>
        <w:rPr>
          <w:rFonts w:hint="eastAsia" w:ascii="宋体" w:hAnsi="宋体" w:eastAsia="宋体"/>
          <w:color w:val="auto"/>
          <w:szCs w:val="21"/>
          <w:highlight w:val="none"/>
          <w:u w:val="single"/>
          <w:lang w:val="en-US" w:eastAsia="zh-CN"/>
        </w:rPr>
        <w:t xml:space="preserve">           </w:t>
      </w:r>
      <w:r>
        <w:rPr>
          <w:rFonts w:hint="eastAsia" w:ascii="宋体" w:hAnsi="宋体" w:eastAsia="宋体"/>
          <w:color w:val="auto"/>
          <w:szCs w:val="21"/>
          <w:highlight w:val="none"/>
          <w:lang w:val="en-US" w:eastAsia="zh-CN"/>
        </w:rPr>
        <w:t>（大写）</w:t>
      </w:r>
      <w:r>
        <w:rPr>
          <w:rFonts w:hint="eastAsia" w:ascii="宋体" w:hAnsi="宋体" w:eastAsia="宋体"/>
          <w:color w:val="auto"/>
          <w:sz w:val="21"/>
          <w:szCs w:val="21"/>
          <w:highlight w:val="none"/>
          <w:lang w:eastAsia="zh-CN"/>
        </w:rPr>
        <w:t>；</w:t>
      </w:r>
    </w:p>
    <w:p>
      <w:pPr>
        <w:pStyle w:val="22"/>
        <w:keepNext w:val="0"/>
        <w:keepLines w:val="0"/>
        <w:pageBreakBefore w:val="0"/>
        <w:widowControl/>
        <w:numPr>
          <w:ilvl w:val="0"/>
          <w:numId w:val="0"/>
        </w:numPr>
        <w:kinsoku/>
        <w:wordWrap/>
        <w:overflowPunct/>
        <w:topLinePunct w:val="0"/>
        <w:autoSpaceDE/>
        <w:autoSpaceDN/>
        <w:bidi w:val="0"/>
        <w:adjustRightInd/>
        <w:snapToGrid/>
        <w:spacing w:line="312" w:lineRule="auto"/>
        <w:ind w:left="0" w:leftChars="0" w:firstLine="420" w:firstLineChars="200"/>
        <w:textAlignment w:val="auto"/>
        <w:rPr>
          <w:rFonts w:hint="eastAsia" w:ascii="宋体" w:hAnsi="宋体" w:eastAsia="宋体"/>
          <w:color w:val="auto"/>
          <w:sz w:val="21"/>
          <w:szCs w:val="21"/>
          <w:highlight w:val="none"/>
        </w:rPr>
      </w:pPr>
      <w:r>
        <w:rPr>
          <w:rFonts w:hint="eastAsia" w:ascii="宋体" w:hAnsi="宋体" w:eastAsia="宋体"/>
          <w:color w:val="auto"/>
          <w:sz w:val="21"/>
          <w:szCs w:val="21"/>
          <w:highlight w:val="none"/>
        </w:rPr>
        <w:t>第</w:t>
      </w:r>
      <w:r>
        <w:rPr>
          <w:rFonts w:hint="eastAsia" w:ascii="宋体" w:hAnsi="宋体" w:eastAsia="宋体"/>
          <w:color w:val="auto"/>
          <w:sz w:val="21"/>
          <w:szCs w:val="21"/>
          <w:highlight w:val="none"/>
          <w:lang w:val="en-US" w:eastAsia="zh-CN"/>
        </w:rPr>
        <w:t>三</w:t>
      </w:r>
      <w:r>
        <w:rPr>
          <w:rFonts w:hint="eastAsia" w:ascii="宋体" w:hAnsi="宋体" w:eastAsia="宋体"/>
          <w:color w:val="auto"/>
          <w:sz w:val="21"/>
          <w:szCs w:val="21"/>
          <w:highlight w:val="none"/>
        </w:rPr>
        <w:t>期（自</w:t>
      </w:r>
      <w:r>
        <w:rPr>
          <w:rFonts w:hint="eastAsia" w:ascii="宋体" w:hAnsi="宋体" w:eastAsia="宋体"/>
          <w:color w:val="auto"/>
          <w:sz w:val="21"/>
          <w:szCs w:val="21"/>
          <w:highlight w:val="none"/>
          <w:u w:val="single"/>
          <w:lang w:val="en-US" w:eastAsia="zh-CN"/>
        </w:rPr>
        <w:t xml:space="preserve">     </w:t>
      </w:r>
      <w:r>
        <w:rPr>
          <w:rFonts w:hint="eastAsia" w:ascii="宋体" w:hAnsi="宋体" w:eastAsia="宋体"/>
          <w:color w:val="auto"/>
          <w:sz w:val="21"/>
          <w:szCs w:val="21"/>
          <w:highlight w:val="none"/>
        </w:rPr>
        <w:t>年</w:t>
      </w:r>
      <w:r>
        <w:rPr>
          <w:rFonts w:hint="eastAsia" w:ascii="宋体" w:hAnsi="宋体" w:eastAsia="宋体"/>
          <w:color w:val="auto"/>
          <w:sz w:val="21"/>
          <w:szCs w:val="21"/>
          <w:highlight w:val="none"/>
          <w:u w:val="single"/>
          <w:lang w:val="en-US" w:eastAsia="zh-CN"/>
        </w:rPr>
        <w:t xml:space="preserve">   </w:t>
      </w:r>
      <w:r>
        <w:rPr>
          <w:rFonts w:hint="eastAsia" w:ascii="宋体" w:hAnsi="宋体" w:eastAsia="宋体"/>
          <w:color w:val="auto"/>
          <w:sz w:val="21"/>
          <w:szCs w:val="21"/>
          <w:highlight w:val="none"/>
        </w:rPr>
        <w:t>月</w:t>
      </w:r>
      <w:r>
        <w:rPr>
          <w:rFonts w:hint="eastAsia" w:ascii="宋体" w:hAnsi="宋体" w:eastAsia="宋体"/>
          <w:color w:val="auto"/>
          <w:sz w:val="21"/>
          <w:szCs w:val="21"/>
          <w:highlight w:val="none"/>
          <w:u w:val="single"/>
          <w:lang w:val="en-US" w:eastAsia="zh-CN"/>
        </w:rPr>
        <w:t xml:space="preserve">   </w:t>
      </w:r>
      <w:r>
        <w:rPr>
          <w:rFonts w:hint="eastAsia" w:ascii="宋体" w:hAnsi="宋体" w:eastAsia="宋体"/>
          <w:color w:val="auto"/>
          <w:sz w:val="21"/>
          <w:szCs w:val="21"/>
          <w:highlight w:val="none"/>
        </w:rPr>
        <w:t>日起至</w:t>
      </w:r>
      <w:r>
        <w:rPr>
          <w:rFonts w:hint="eastAsia" w:ascii="宋体" w:hAnsi="宋体" w:eastAsia="宋体"/>
          <w:color w:val="auto"/>
          <w:sz w:val="21"/>
          <w:szCs w:val="21"/>
          <w:highlight w:val="none"/>
          <w:u w:val="single"/>
          <w:lang w:val="en-US" w:eastAsia="zh-CN"/>
        </w:rPr>
        <w:t xml:space="preserve">     </w:t>
      </w:r>
      <w:r>
        <w:rPr>
          <w:rFonts w:hint="eastAsia" w:ascii="宋体" w:hAnsi="宋体" w:eastAsia="宋体"/>
          <w:color w:val="auto"/>
          <w:sz w:val="21"/>
          <w:szCs w:val="21"/>
          <w:highlight w:val="none"/>
        </w:rPr>
        <w:t>年</w:t>
      </w:r>
      <w:r>
        <w:rPr>
          <w:rFonts w:hint="eastAsia" w:ascii="宋体" w:hAnsi="宋体" w:eastAsia="宋体"/>
          <w:color w:val="auto"/>
          <w:sz w:val="21"/>
          <w:szCs w:val="21"/>
          <w:highlight w:val="none"/>
          <w:u w:val="single"/>
          <w:lang w:val="en-US" w:eastAsia="zh-CN"/>
        </w:rPr>
        <w:t xml:space="preserve">   </w:t>
      </w:r>
      <w:r>
        <w:rPr>
          <w:rFonts w:hint="eastAsia" w:ascii="宋体" w:hAnsi="宋体" w:eastAsia="宋体"/>
          <w:color w:val="auto"/>
          <w:sz w:val="21"/>
          <w:szCs w:val="21"/>
          <w:highlight w:val="none"/>
        </w:rPr>
        <w:t>月</w:t>
      </w:r>
      <w:r>
        <w:rPr>
          <w:rFonts w:hint="eastAsia" w:ascii="宋体" w:hAnsi="宋体" w:eastAsia="宋体"/>
          <w:color w:val="auto"/>
          <w:sz w:val="21"/>
          <w:szCs w:val="21"/>
          <w:highlight w:val="none"/>
          <w:u w:val="single"/>
          <w:lang w:val="en-US" w:eastAsia="zh-CN"/>
        </w:rPr>
        <w:t xml:space="preserve">   </w:t>
      </w:r>
      <w:r>
        <w:rPr>
          <w:rFonts w:hint="eastAsia" w:ascii="宋体" w:hAnsi="宋体" w:eastAsia="宋体"/>
          <w:color w:val="auto"/>
          <w:sz w:val="21"/>
          <w:szCs w:val="21"/>
          <w:highlight w:val="none"/>
        </w:rPr>
        <w:t>日止）</w:t>
      </w:r>
      <w:r>
        <w:rPr>
          <w:rFonts w:hint="eastAsia" w:ascii="宋体" w:hAnsi="宋体" w:eastAsia="宋体"/>
          <w:color w:val="auto"/>
          <w:sz w:val="21"/>
          <w:szCs w:val="21"/>
          <w:highlight w:val="none"/>
          <w:lang w:eastAsia="zh-CN"/>
        </w:rPr>
        <w:t>，</w:t>
      </w:r>
      <w:r>
        <w:rPr>
          <w:rFonts w:hint="eastAsia" w:ascii="宋体" w:hAnsi="宋体" w:eastAsia="宋体"/>
          <w:color w:val="auto"/>
          <w:sz w:val="21"/>
          <w:szCs w:val="21"/>
          <w:highlight w:val="none"/>
        </w:rPr>
        <w:t>维保服务费</w:t>
      </w:r>
      <w:r>
        <w:rPr>
          <w:rFonts w:hint="eastAsia" w:ascii="宋体" w:hAnsi="宋体" w:eastAsia="宋体"/>
          <w:color w:val="auto"/>
          <w:szCs w:val="21"/>
          <w:highlight w:val="none"/>
          <w:lang w:val="en-US" w:eastAsia="zh-CN"/>
        </w:rPr>
        <w:t>人民币</w:t>
      </w:r>
      <w:r>
        <w:rPr>
          <w:rFonts w:hint="eastAsia" w:ascii="宋体" w:hAnsi="宋体" w:eastAsia="宋体"/>
          <w:color w:val="auto"/>
          <w:szCs w:val="21"/>
          <w:highlight w:val="none"/>
          <w:u w:val="single"/>
          <w:lang w:val="en-US" w:eastAsia="zh-CN"/>
        </w:rPr>
        <w:t xml:space="preserve">          </w:t>
      </w:r>
      <w:r>
        <w:rPr>
          <w:rFonts w:hint="eastAsia" w:ascii="宋体" w:hAnsi="宋体" w:eastAsia="宋体"/>
          <w:color w:val="auto"/>
          <w:szCs w:val="21"/>
          <w:highlight w:val="none"/>
          <w:u w:val="none"/>
          <w:lang w:val="en-US" w:eastAsia="zh-CN"/>
        </w:rPr>
        <w:t>元</w:t>
      </w:r>
      <w:r>
        <w:rPr>
          <w:rFonts w:hint="eastAsia" w:ascii="宋体" w:hAnsi="宋体" w:eastAsia="宋体"/>
          <w:color w:val="auto"/>
          <w:szCs w:val="21"/>
          <w:highlight w:val="none"/>
          <w:lang w:val="en-US" w:eastAsia="zh-CN"/>
        </w:rPr>
        <w:t>（小写），</w:t>
      </w:r>
      <w:r>
        <w:rPr>
          <w:rFonts w:hint="eastAsia" w:ascii="宋体" w:hAnsi="宋体" w:eastAsia="宋体"/>
          <w:color w:val="auto"/>
          <w:szCs w:val="21"/>
          <w:highlight w:val="none"/>
          <w:u w:val="single"/>
          <w:lang w:val="en-US" w:eastAsia="zh-CN"/>
        </w:rPr>
        <w:t xml:space="preserve">           </w:t>
      </w:r>
      <w:r>
        <w:rPr>
          <w:rFonts w:hint="eastAsia" w:ascii="宋体" w:hAnsi="宋体" w:eastAsia="宋体"/>
          <w:color w:val="auto"/>
          <w:szCs w:val="21"/>
          <w:highlight w:val="none"/>
          <w:lang w:val="en-US" w:eastAsia="zh-CN"/>
        </w:rPr>
        <w:t>（大写）</w:t>
      </w:r>
      <w:r>
        <w:rPr>
          <w:rFonts w:hint="eastAsia" w:ascii="宋体" w:hAnsi="宋体" w:eastAsia="宋体"/>
          <w:color w:val="auto"/>
          <w:sz w:val="21"/>
          <w:szCs w:val="21"/>
          <w:highlight w:val="none"/>
        </w:rPr>
        <w:t>。</w:t>
      </w:r>
    </w:p>
    <w:p>
      <w:pPr>
        <w:pStyle w:val="15"/>
        <w:keepNext w:val="0"/>
        <w:keepLines w:val="0"/>
        <w:pageBreakBefore w:val="0"/>
        <w:widowControl/>
        <w:kinsoku/>
        <w:wordWrap/>
        <w:overflowPunct/>
        <w:topLinePunct w:val="0"/>
        <w:autoSpaceDE/>
        <w:autoSpaceDN/>
        <w:bidi w:val="0"/>
        <w:adjustRightInd/>
        <w:snapToGrid/>
        <w:spacing w:line="312" w:lineRule="auto"/>
        <w:ind w:firstLine="422"/>
        <w:textAlignment w:val="auto"/>
        <w:rPr>
          <w:rFonts w:hint="eastAsia" w:ascii="宋体" w:hAnsi="宋体" w:eastAsia="宋体"/>
          <w:color w:val="auto"/>
          <w:szCs w:val="21"/>
          <w:highlight w:val="none"/>
          <w:lang w:val="en-US" w:eastAsia="zh-CN"/>
        </w:rPr>
      </w:pPr>
      <w:r>
        <w:rPr>
          <w:rFonts w:hint="eastAsia" w:ascii="宋体" w:hAnsi="宋体" w:eastAsia="宋体"/>
          <w:color w:val="auto"/>
          <w:szCs w:val="21"/>
          <w:highlight w:val="none"/>
          <w:lang w:val="en-US" w:eastAsia="zh-CN"/>
        </w:rPr>
        <w:t xml:space="preserve">（三）乙方收款账号信息： </w:t>
      </w:r>
    </w:p>
    <w:p>
      <w:pPr>
        <w:pStyle w:val="15"/>
        <w:keepNext w:val="0"/>
        <w:keepLines w:val="0"/>
        <w:pageBreakBefore w:val="0"/>
        <w:widowControl/>
        <w:kinsoku/>
        <w:wordWrap/>
        <w:overflowPunct/>
        <w:topLinePunct w:val="0"/>
        <w:autoSpaceDE/>
        <w:autoSpaceDN/>
        <w:bidi w:val="0"/>
        <w:adjustRightInd/>
        <w:snapToGrid/>
        <w:spacing w:line="312" w:lineRule="auto"/>
        <w:ind w:firstLine="422"/>
        <w:textAlignment w:val="auto"/>
        <w:rPr>
          <w:rFonts w:hint="default" w:ascii="宋体" w:hAnsi="宋体" w:eastAsia="宋体"/>
          <w:color w:val="auto"/>
          <w:szCs w:val="21"/>
          <w:highlight w:val="none"/>
          <w:lang w:val="en-US" w:eastAsia="zh-CN"/>
        </w:rPr>
      </w:pPr>
      <w:r>
        <w:rPr>
          <w:rFonts w:hint="eastAsia" w:ascii="宋体" w:hAnsi="宋体" w:eastAsia="宋体"/>
          <w:color w:val="auto"/>
          <w:szCs w:val="21"/>
          <w:highlight w:val="none"/>
          <w:lang w:val="en-US" w:eastAsia="zh-CN"/>
        </w:rPr>
        <w:t>收款单位：</w:t>
      </w:r>
      <w:r>
        <w:rPr>
          <w:rFonts w:hint="eastAsia" w:ascii="宋体" w:hAnsi="宋体" w:eastAsia="宋体"/>
          <w:color w:val="auto"/>
          <w:szCs w:val="21"/>
          <w:highlight w:val="none"/>
          <w:u w:val="single"/>
          <w:lang w:val="en-US" w:eastAsia="zh-CN"/>
        </w:rPr>
        <w:t xml:space="preserve">                             </w:t>
      </w:r>
    </w:p>
    <w:p>
      <w:pPr>
        <w:pStyle w:val="15"/>
        <w:keepNext w:val="0"/>
        <w:keepLines w:val="0"/>
        <w:pageBreakBefore w:val="0"/>
        <w:widowControl/>
        <w:kinsoku/>
        <w:wordWrap/>
        <w:overflowPunct/>
        <w:topLinePunct w:val="0"/>
        <w:autoSpaceDE/>
        <w:autoSpaceDN/>
        <w:bidi w:val="0"/>
        <w:adjustRightInd/>
        <w:snapToGrid/>
        <w:spacing w:line="312" w:lineRule="auto"/>
        <w:ind w:firstLine="422"/>
        <w:textAlignment w:val="auto"/>
        <w:rPr>
          <w:rFonts w:hint="eastAsia" w:ascii="宋体" w:hAnsi="宋体" w:eastAsia="宋体"/>
          <w:color w:val="auto"/>
          <w:szCs w:val="21"/>
          <w:highlight w:val="none"/>
          <w:u w:val="single"/>
          <w:lang w:val="en-US" w:eastAsia="zh-CN"/>
        </w:rPr>
      </w:pPr>
      <w:r>
        <w:rPr>
          <w:rFonts w:hint="eastAsia" w:ascii="宋体" w:hAnsi="宋体" w:eastAsia="宋体"/>
          <w:color w:val="auto"/>
          <w:szCs w:val="21"/>
          <w:highlight w:val="none"/>
          <w:lang w:val="en-US" w:eastAsia="zh-CN"/>
        </w:rPr>
        <w:t>开户行：</w:t>
      </w:r>
      <w:r>
        <w:rPr>
          <w:rFonts w:hint="eastAsia" w:ascii="宋体" w:hAnsi="宋体" w:eastAsia="宋体"/>
          <w:color w:val="auto"/>
          <w:szCs w:val="21"/>
          <w:highlight w:val="none"/>
          <w:u w:val="single"/>
          <w:lang w:val="en-US" w:eastAsia="zh-CN"/>
        </w:rPr>
        <w:t xml:space="preserve">                               </w:t>
      </w:r>
    </w:p>
    <w:p>
      <w:pPr>
        <w:pStyle w:val="15"/>
        <w:keepNext w:val="0"/>
        <w:keepLines w:val="0"/>
        <w:pageBreakBefore w:val="0"/>
        <w:widowControl/>
        <w:kinsoku/>
        <w:wordWrap/>
        <w:overflowPunct/>
        <w:topLinePunct w:val="0"/>
        <w:autoSpaceDE/>
        <w:autoSpaceDN/>
        <w:bidi w:val="0"/>
        <w:adjustRightInd/>
        <w:snapToGrid/>
        <w:spacing w:line="312" w:lineRule="auto"/>
        <w:ind w:firstLine="422"/>
        <w:textAlignment w:val="auto"/>
        <w:rPr>
          <w:rFonts w:hint="eastAsia" w:ascii="宋体" w:hAnsi="宋体" w:eastAsia="宋体"/>
          <w:color w:val="auto"/>
          <w:szCs w:val="21"/>
          <w:highlight w:val="none"/>
          <w:u w:val="single"/>
          <w:lang w:val="en-US" w:eastAsia="zh-CN"/>
        </w:rPr>
      </w:pPr>
      <w:r>
        <w:rPr>
          <w:rFonts w:hint="eastAsia" w:ascii="宋体" w:hAnsi="宋体" w:eastAsia="宋体"/>
          <w:color w:val="auto"/>
          <w:szCs w:val="21"/>
          <w:highlight w:val="none"/>
          <w:lang w:val="en-US" w:eastAsia="zh-CN"/>
        </w:rPr>
        <w:t>账号：</w:t>
      </w:r>
      <w:r>
        <w:rPr>
          <w:rFonts w:hint="eastAsia" w:ascii="宋体" w:hAnsi="宋体" w:eastAsia="宋体"/>
          <w:color w:val="auto"/>
          <w:szCs w:val="21"/>
          <w:highlight w:val="none"/>
          <w:u w:val="single"/>
          <w:lang w:val="en-US" w:eastAsia="zh-CN"/>
        </w:rPr>
        <w:t xml:space="preserve">                                 </w:t>
      </w:r>
    </w:p>
    <w:p>
      <w:pPr>
        <w:pStyle w:val="15"/>
        <w:keepNext w:val="0"/>
        <w:keepLines w:val="0"/>
        <w:pageBreakBefore w:val="0"/>
        <w:widowControl/>
        <w:kinsoku/>
        <w:wordWrap/>
        <w:overflowPunct/>
        <w:topLinePunct w:val="0"/>
        <w:autoSpaceDE/>
        <w:autoSpaceDN/>
        <w:bidi w:val="0"/>
        <w:adjustRightInd/>
        <w:snapToGrid/>
        <w:spacing w:line="312" w:lineRule="auto"/>
        <w:ind w:firstLine="422"/>
        <w:textAlignment w:val="auto"/>
        <w:rPr>
          <w:rFonts w:hint="default" w:ascii="宋体" w:hAnsi="宋体" w:eastAsia="宋体"/>
          <w:color w:val="auto"/>
          <w:szCs w:val="21"/>
          <w:highlight w:val="none"/>
          <w:lang w:val="en-US" w:eastAsia="zh-CN"/>
        </w:rPr>
      </w:pPr>
      <w:r>
        <w:rPr>
          <w:rFonts w:hint="eastAsia" w:ascii="宋体" w:hAnsi="宋体" w:eastAsia="宋体"/>
          <w:color w:val="auto"/>
          <w:szCs w:val="21"/>
          <w:highlight w:val="none"/>
          <w:lang w:val="en-US" w:eastAsia="zh-CN"/>
        </w:rPr>
        <w:t>税号：</w:t>
      </w:r>
      <w:r>
        <w:rPr>
          <w:rFonts w:hint="eastAsia" w:ascii="宋体" w:hAnsi="宋体" w:eastAsia="宋体"/>
          <w:color w:val="auto"/>
          <w:szCs w:val="21"/>
          <w:highlight w:val="none"/>
          <w:u w:val="single"/>
          <w:lang w:val="en-US" w:eastAsia="zh-CN"/>
        </w:rPr>
        <w:t xml:space="preserve">                                 </w:t>
      </w:r>
    </w:p>
    <w:p>
      <w:pPr>
        <w:keepNext w:val="0"/>
        <w:keepLines w:val="0"/>
        <w:pageBreakBefore w:val="0"/>
        <w:numPr>
          <w:ilvl w:val="0"/>
          <w:numId w:val="2"/>
        </w:numPr>
        <w:kinsoku/>
        <w:wordWrap/>
        <w:overflowPunct/>
        <w:topLinePunct w:val="0"/>
        <w:autoSpaceDE/>
        <w:autoSpaceDN/>
        <w:bidi w:val="0"/>
        <w:adjustRightInd/>
        <w:snapToGrid w:val="0"/>
        <w:spacing w:line="312"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若甲方需要在</w:t>
      </w:r>
      <w:r>
        <w:rPr>
          <w:rFonts w:hint="eastAsia" w:ascii="宋体" w:hAnsi="宋体"/>
          <w:color w:val="auto"/>
          <w:szCs w:val="21"/>
          <w:highlight w:val="none"/>
          <w:lang w:val="en-US" w:eastAsia="zh-CN"/>
        </w:rPr>
        <w:t>服务提供前</w:t>
      </w:r>
      <w:r>
        <w:rPr>
          <w:rFonts w:hint="eastAsia" w:ascii="宋体" w:hAnsi="宋体"/>
          <w:color w:val="auto"/>
          <w:szCs w:val="21"/>
          <w:highlight w:val="none"/>
        </w:rPr>
        <w:t>支付的，</w:t>
      </w:r>
      <w:r>
        <w:rPr>
          <w:rFonts w:hint="eastAsia" w:ascii="宋体" w:hAnsi="宋体" w:eastAsia="宋体" w:cs="Times New Roman"/>
          <w:color w:val="auto"/>
          <w:szCs w:val="21"/>
          <w:highlight w:val="none"/>
          <w:lang w:val="en-US" w:eastAsia="zh-CN"/>
        </w:rPr>
        <w:t>乙方须向甲方指定账户汇入与支付金额相等的供货保证金，或提供甲方认可的与支付金额相等、不可撤销、见索即付的独立保函，或提供甲方认可的其他凭证。若保函（或其他凭证）有效期到期前40日内</w:t>
      </w:r>
      <w:r>
        <w:rPr>
          <w:rFonts w:hint="eastAsia" w:ascii="宋体" w:hAnsi="宋体"/>
          <w:color w:val="auto"/>
          <w:szCs w:val="21"/>
          <w:highlight w:val="none"/>
        </w:rPr>
        <w:t>，</w:t>
      </w:r>
      <w:r>
        <w:rPr>
          <w:rFonts w:hint="eastAsia" w:ascii="宋体" w:hAnsi="宋体"/>
          <w:color w:val="auto"/>
          <w:szCs w:val="21"/>
          <w:highlight w:val="none"/>
          <w:lang w:val="en-US" w:eastAsia="zh-CN"/>
        </w:rPr>
        <w:t>服务未提供或未完成</w:t>
      </w:r>
      <w:r>
        <w:rPr>
          <w:rFonts w:hint="eastAsia" w:ascii="宋体" w:hAnsi="宋体"/>
          <w:color w:val="auto"/>
          <w:szCs w:val="21"/>
          <w:highlight w:val="none"/>
        </w:rPr>
        <w:t>，乙方应当及时更新保函（或其他凭证），并将新的保函（或其他凭证）送至甲方指定位置。甲方保留在保函（或其他凭证）有效期到期前</w:t>
      </w:r>
      <w:r>
        <w:rPr>
          <w:rFonts w:hint="eastAsia" w:ascii="宋体" w:hAnsi="宋体"/>
          <w:color w:val="auto"/>
          <w:szCs w:val="21"/>
          <w:highlight w:val="none"/>
          <w:lang w:val="en-US" w:eastAsia="zh-CN"/>
        </w:rPr>
        <w:t>30</w:t>
      </w:r>
      <w:r>
        <w:rPr>
          <w:rFonts w:hint="eastAsia" w:ascii="宋体" w:hAnsi="宋体"/>
          <w:color w:val="auto"/>
          <w:szCs w:val="21"/>
          <w:highlight w:val="none"/>
        </w:rPr>
        <w:t>日内向担保方索付的权利（或采取其他有效措施保护自身权利）。因乙方未及时提供或替换已到期保函（或其他凭证）而造成甲方的一切损失，由乙方承担。</w:t>
      </w:r>
    </w:p>
    <w:p>
      <w:pPr>
        <w:keepNext w:val="0"/>
        <w:keepLines w:val="0"/>
        <w:pageBreakBefore w:val="0"/>
        <w:kinsoku/>
        <w:wordWrap/>
        <w:overflowPunct/>
        <w:topLinePunct w:val="0"/>
        <w:autoSpaceDE/>
        <w:autoSpaceDN/>
        <w:bidi w:val="0"/>
        <w:adjustRightInd/>
        <w:spacing w:line="312" w:lineRule="auto"/>
        <w:ind w:left="0" w:firstLine="420" w:firstLineChars="200"/>
        <w:textAlignment w:val="auto"/>
        <w:rPr>
          <w:rFonts w:hint="eastAsia" w:cs="宋体"/>
          <w:b/>
          <w:color w:val="auto"/>
          <w:szCs w:val="21"/>
          <w:highlight w:val="none"/>
          <w:lang w:val="en-US" w:eastAsia="zh-CN" w:bidi="ar"/>
        </w:rPr>
      </w:pPr>
      <w:r>
        <w:rPr>
          <w:rFonts w:hint="eastAsia" w:ascii="宋体" w:hAnsi="宋体"/>
          <w:color w:val="auto"/>
          <w:szCs w:val="21"/>
          <w:highlight w:val="none"/>
          <w:lang w:eastAsia="zh-CN"/>
        </w:rPr>
        <w:t>（</w:t>
      </w:r>
      <w:r>
        <w:rPr>
          <w:rFonts w:hint="eastAsia" w:ascii="宋体" w:hAnsi="宋体"/>
          <w:color w:val="auto"/>
          <w:szCs w:val="21"/>
          <w:highlight w:val="none"/>
          <w:lang w:val="en-US" w:eastAsia="zh-CN"/>
        </w:rPr>
        <w:t>五</w:t>
      </w:r>
      <w:r>
        <w:rPr>
          <w:rFonts w:hint="eastAsia" w:ascii="宋体" w:hAnsi="宋体"/>
          <w:color w:val="auto"/>
          <w:szCs w:val="21"/>
          <w:highlight w:val="none"/>
          <w:lang w:eastAsia="zh-CN"/>
        </w:rPr>
        <w:t>）</w:t>
      </w:r>
      <w:r>
        <w:rPr>
          <w:rFonts w:hint="eastAsia" w:ascii="宋体" w:hAnsi="宋体"/>
          <w:color w:val="auto"/>
          <w:szCs w:val="21"/>
          <w:highlight w:val="none"/>
          <w:lang w:val="en-US" w:eastAsia="zh-CN"/>
        </w:rPr>
        <w:t>本合同中</w:t>
      </w:r>
      <w:r>
        <w:rPr>
          <w:rFonts w:hint="eastAsia" w:ascii="宋体" w:hAnsi="宋体"/>
          <w:color w:val="auto"/>
          <w:szCs w:val="21"/>
          <w:highlight w:val="none"/>
        </w:rPr>
        <w:t>乙方提供作为担保的质保金、履约保证金或其他种类的保证金，退还时乙方均不得索要利息。</w:t>
      </w:r>
    </w:p>
    <w:p>
      <w:pPr>
        <w:keepNext w:val="0"/>
        <w:keepLines w:val="0"/>
        <w:pageBreakBefore w:val="0"/>
        <w:kinsoku/>
        <w:wordWrap/>
        <w:overflowPunct/>
        <w:topLinePunct w:val="0"/>
        <w:autoSpaceDE/>
        <w:autoSpaceDN/>
        <w:bidi w:val="0"/>
        <w:adjustRightInd/>
        <w:spacing w:line="312" w:lineRule="auto"/>
        <w:ind w:firstLine="422" w:firstLineChars="200"/>
        <w:textAlignment w:val="auto"/>
        <w:rPr>
          <w:rFonts w:hint="eastAsia" w:cs="宋体"/>
          <w:b/>
          <w:color w:val="auto"/>
          <w:szCs w:val="21"/>
          <w:highlight w:val="none"/>
          <w:lang w:val="en-US" w:eastAsia="zh-CN" w:bidi="ar"/>
        </w:rPr>
      </w:pPr>
    </w:p>
    <w:p>
      <w:pPr>
        <w:keepNext w:val="0"/>
        <w:keepLines w:val="0"/>
        <w:pageBreakBefore w:val="0"/>
        <w:kinsoku/>
        <w:wordWrap/>
        <w:overflowPunct/>
        <w:topLinePunct w:val="0"/>
        <w:autoSpaceDE/>
        <w:autoSpaceDN/>
        <w:bidi w:val="0"/>
        <w:adjustRightInd/>
        <w:spacing w:line="312" w:lineRule="auto"/>
        <w:ind w:firstLine="422" w:firstLineChars="200"/>
        <w:textAlignment w:val="auto"/>
        <w:rPr>
          <w:rFonts w:hint="eastAsia" w:cs="宋体"/>
          <w:b/>
          <w:color w:val="auto"/>
          <w:szCs w:val="21"/>
          <w:highlight w:val="none"/>
          <w:lang w:val="en-US" w:eastAsia="zh-CN" w:bidi="ar"/>
        </w:rPr>
      </w:pPr>
      <w:r>
        <w:rPr>
          <w:rFonts w:hint="eastAsia" w:cs="宋体"/>
          <w:b/>
          <w:color w:val="auto"/>
          <w:szCs w:val="21"/>
          <w:highlight w:val="none"/>
          <w:lang w:val="en-US" w:eastAsia="zh-CN" w:bidi="ar"/>
        </w:rPr>
        <w:t>四、履约验收</w:t>
      </w:r>
    </w:p>
    <w:p>
      <w:pPr>
        <w:keepNext w:val="0"/>
        <w:keepLines w:val="0"/>
        <w:pageBreakBefore w:val="0"/>
        <w:widowControl w:val="0"/>
        <w:kinsoku/>
        <w:wordWrap/>
        <w:overflowPunct/>
        <w:topLinePunct w:val="0"/>
        <w:autoSpaceDE/>
        <w:autoSpaceDN/>
        <w:bidi w:val="0"/>
        <w:adjustRightInd/>
        <w:snapToGrid w:val="0"/>
        <w:spacing w:line="312" w:lineRule="auto"/>
        <w:ind w:firstLine="420" w:firstLineChars="200"/>
        <w:textAlignment w:val="auto"/>
        <w:rPr>
          <w:rFonts w:hint="eastAsia" w:ascii="宋体" w:hAnsi="宋体" w:eastAsia="宋体" w:cs="Times New Roman"/>
          <w:color w:val="auto"/>
          <w:szCs w:val="21"/>
          <w:highlight w:val="none"/>
          <w:lang w:eastAsia="zh-CN"/>
        </w:rPr>
      </w:pPr>
      <w:r>
        <w:rPr>
          <w:rFonts w:hint="eastAsia" w:ascii="宋体" w:hAnsi="宋体"/>
          <w:color w:val="auto"/>
          <w:szCs w:val="21"/>
          <w:highlight w:val="none"/>
          <w:lang w:val="en-US" w:eastAsia="zh-CN"/>
        </w:rPr>
        <w:t>1、按本合同约定，乙方向甲方提供相应服务</w:t>
      </w:r>
      <w:r>
        <w:rPr>
          <w:rFonts w:hint="eastAsia" w:ascii="宋体" w:hAnsi="宋体"/>
          <w:color w:val="auto"/>
          <w:szCs w:val="21"/>
          <w:highlight w:val="none"/>
        </w:rPr>
        <w:t>，</w:t>
      </w:r>
      <w:r>
        <w:rPr>
          <w:rFonts w:hint="eastAsia" w:ascii="宋体" w:hAnsi="宋体" w:eastAsia="宋体" w:cs="Times New Roman"/>
          <w:color w:val="auto"/>
          <w:szCs w:val="21"/>
          <w:highlight w:val="none"/>
          <w:lang w:val="en-US" w:eastAsia="zh-CN"/>
        </w:rPr>
        <w:t>提供服务</w:t>
      </w:r>
      <w:r>
        <w:rPr>
          <w:rFonts w:hint="eastAsia" w:ascii="宋体" w:hAnsi="宋体" w:eastAsia="宋体" w:cs="Times New Roman"/>
          <w:color w:val="auto"/>
          <w:szCs w:val="21"/>
          <w:highlight w:val="none"/>
        </w:rPr>
        <w:t>时请联系</w:t>
      </w:r>
      <w:r>
        <w:rPr>
          <w:rFonts w:hint="eastAsia" w:ascii="宋体" w:hAnsi="宋体" w:eastAsia="宋体" w:cs="Times New Roman"/>
          <w:color w:val="auto"/>
          <w:szCs w:val="21"/>
          <w:highlight w:val="none"/>
          <w:lang w:val="en-US" w:eastAsia="zh-CN"/>
        </w:rPr>
        <w:t>甲方对应部门</w:t>
      </w:r>
      <w:r>
        <w:rPr>
          <w:rFonts w:hint="eastAsia" w:ascii="宋体" w:hAnsi="宋体" w:eastAsia="宋体" w:cs="Times New Roman"/>
          <w:color w:val="auto"/>
          <w:szCs w:val="21"/>
          <w:highlight w:val="none"/>
        </w:rPr>
        <w:t>办理手续，联系电话：</w:t>
      </w:r>
      <w:r>
        <w:rPr>
          <w:rFonts w:hint="eastAsia" w:ascii="宋体" w:hAnsi="宋体" w:eastAsia="宋体" w:cs="Times New Roman"/>
          <w:color w:val="auto"/>
          <w:szCs w:val="21"/>
          <w:highlight w:val="none"/>
          <w:lang w:val="en-US" w:eastAsia="zh-CN"/>
        </w:rPr>
        <w:t>62283039（科研处），</w:t>
      </w:r>
      <w:r>
        <w:rPr>
          <w:rFonts w:hint="eastAsia" w:ascii="宋体" w:hAnsi="宋体" w:eastAsia="宋体" w:cs="Times New Roman"/>
          <w:color w:val="auto"/>
          <w:szCs w:val="21"/>
          <w:highlight w:val="none"/>
        </w:rPr>
        <w:t>62283</w:t>
      </w:r>
      <w:r>
        <w:rPr>
          <w:rFonts w:hint="eastAsia" w:ascii="宋体" w:hAnsi="宋体" w:eastAsia="宋体" w:cs="Times New Roman"/>
          <w:color w:val="auto"/>
          <w:szCs w:val="21"/>
          <w:highlight w:val="none"/>
          <w:lang w:val="en-US" w:eastAsia="zh-CN"/>
        </w:rPr>
        <w:t>067</w:t>
      </w:r>
      <w:r>
        <w:rPr>
          <w:rFonts w:hint="eastAsia" w:ascii="宋体" w:hAnsi="宋体" w:eastAsia="宋体" w:cs="Times New Roman"/>
          <w:color w:val="auto"/>
          <w:szCs w:val="21"/>
          <w:highlight w:val="none"/>
        </w:rPr>
        <w:t>（</w:t>
      </w:r>
      <w:r>
        <w:rPr>
          <w:rFonts w:hint="eastAsia" w:ascii="宋体" w:hAnsi="宋体" w:eastAsia="宋体" w:cs="Times New Roman"/>
          <w:color w:val="auto"/>
          <w:szCs w:val="21"/>
          <w:highlight w:val="none"/>
          <w:lang w:val="en-US" w:eastAsia="zh-CN"/>
        </w:rPr>
        <w:t>中区</w:t>
      </w:r>
      <w:r>
        <w:rPr>
          <w:rFonts w:hint="eastAsia" w:ascii="宋体" w:hAnsi="宋体" w:eastAsia="宋体" w:cs="Times New Roman"/>
          <w:color w:val="auto"/>
          <w:szCs w:val="21"/>
          <w:highlight w:val="none"/>
        </w:rPr>
        <w:t>医学工程处设备），62283</w:t>
      </w:r>
      <w:r>
        <w:rPr>
          <w:rFonts w:hint="eastAsia" w:ascii="宋体" w:hAnsi="宋体" w:eastAsia="宋体" w:cs="Times New Roman"/>
          <w:color w:val="auto"/>
          <w:szCs w:val="21"/>
          <w:highlight w:val="none"/>
          <w:lang w:val="en-US" w:eastAsia="zh-CN"/>
        </w:rPr>
        <w:t>614</w:t>
      </w:r>
      <w:r>
        <w:rPr>
          <w:rFonts w:hint="eastAsia" w:ascii="宋体" w:hAnsi="宋体" w:eastAsia="宋体" w:cs="Times New Roman"/>
          <w:color w:val="auto"/>
          <w:szCs w:val="21"/>
          <w:highlight w:val="none"/>
        </w:rPr>
        <w:t>（</w:t>
      </w:r>
      <w:r>
        <w:rPr>
          <w:rFonts w:hint="eastAsia" w:ascii="宋体" w:hAnsi="宋体" w:eastAsia="宋体" w:cs="Times New Roman"/>
          <w:color w:val="auto"/>
          <w:szCs w:val="21"/>
          <w:highlight w:val="none"/>
          <w:lang w:val="en-US" w:eastAsia="zh-CN"/>
        </w:rPr>
        <w:t>中区</w:t>
      </w:r>
      <w:r>
        <w:rPr>
          <w:rFonts w:hint="eastAsia" w:ascii="宋体" w:hAnsi="宋体" w:eastAsia="宋体" w:cs="Times New Roman"/>
          <w:color w:val="auto"/>
          <w:szCs w:val="21"/>
          <w:highlight w:val="none"/>
        </w:rPr>
        <w:t>医学工程处</w:t>
      </w:r>
      <w:r>
        <w:rPr>
          <w:rFonts w:hint="eastAsia" w:ascii="宋体" w:hAnsi="宋体" w:eastAsia="宋体" w:cs="Times New Roman"/>
          <w:color w:val="auto"/>
          <w:szCs w:val="21"/>
          <w:highlight w:val="none"/>
          <w:lang w:val="en-US" w:eastAsia="zh-CN"/>
        </w:rPr>
        <w:t>仓储</w:t>
      </w:r>
      <w:r>
        <w:rPr>
          <w:rFonts w:hint="eastAsia" w:ascii="宋体" w:hAnsi="宋体" w:eastAsia="宋体" w:cs="Times New Roman"/>
          <w:color w:val="auto"/>
          <w:szCs w:val="21"/>
          <w:highlight w:val="none"/>
        </w:rPr>
        <w:t>），62283018（</w:t>
      </w:r>
      <w:r>
        <w:rPr>
          <w:rFonts w:hint="eastAsia" w:ascii="宋体" w:hAnsi="宋体" w:eastAsia="宋体" w:cs="Times New Roman"/>
          <w:color w:val="auto"/>
          <w:szCs w:val="21"/>
          <w:highlight w:val="none"/>
          <w:lang w:val="en-US" w:eastAsia="zh-CN"/>
        </w:rPr>
        <w:t>中区</w:t>
      </w:r>
      <w:bookmarkStart w:id="0" w:name="_GoBack"/>
      <w:bookmarkEnd w:id="0"/>
      <w:r>
        <w:rPr>
          <w:rFonts w:hint="eastAsia" w:ascii="宋体" w:hAnsi="宋体" w:eastAsia="宋体" w:cs="Times New Roman"/>
          <w:color w:val="auto"/>
          <w:szCs w:val="21"/>
          <w:highlight w:val="none"/>
        </w:rPr>
        <w:t>医学工程处</w:t>
      </w:r>
      <w:r>
        <w:rPr>
          <w:rFonts w:hint="eastAsia" w:ascii="宋体" w:hAnsi="宋体" w:eastAsia="宋体" w:cs="Times New Roman"/>
          <w:color w:val="auto"/>
          <w:szCs w:val="21"/>
          <w:highlight w:val="none"/>
          <w:lang w:val="en-US" w:eastAsia="zh-CN"/>
        </w:rPr>
        <w:t>维修</w:t>
      </w:r>
      <w:r>
        <w:rPr>
          <w:rFonts w:hint="eastAsia" w:ascii="宋体" w:hAnsi="宋体" w:eastAsia="宋体" w:cs="Times New Roman"/>
          <w:color w:val="auto"/>
          <w:szCs w:val="21"/>
          <w:highlight w:val="none"/>
          <w:lang w:eastAsia="zh-CN"/>
        </w:rPr>
        <w:t>），</w:t>
      </w:r>
      <w:r>
        <w:rPr>
          <w:rFonts w:hint="eastAsia" w:ascii="宋体" w:hAnsi="宋体" w:eastAsia="宋体" w:cs="Times New Roman"/>
          <w:color w:val="auto"/>
          <w:szCs w:val="21"/>
          <w:highlight w:val="none"/>
        </w:rPr>
        <w:t>62284012（南区医工），65327677（</w:t>
      </w:r>
      <w:r>
        <w:rPr>
          <w:rFonts w:hint="eastAsia" w:ascii="宋体" w:hAnsi="宋体" w:eastAsia="宋体" w:cs="Times New Roman"/>
          <w:color w:val="auto"/>
          <w:szCs w:val="21"/>
          <w:highlight w:val="none"/>
          <w:lang w:val="en-US" w:eastAsia="zh-CN"/>
        </w:rPr>
        <w:t>西</w:t>
      </w:r>
      <w:r>
        <w:rPr>
          <w:rFonts w:hint="eastAsia" w:ascii="宋体" w:hAnsi="宋体" w:eastAsia="宋体" w:cs="Times New Roman"/>
          <w:color w:val="auto"/>
          <w:szCs w:val="21"/>
          <w:highlight w:val="none"/>
        </w:rPr>
        <w:t>区医工）</w:t>
      </w:r>
      <w:r>
        <w:rPr>
          <w:rFonts w:hint="eastAsia" w:ascii="宋体" w:hAnsi="宋体" w:eastAsia="宋体" w:cs="Times New Roman"/>
          <w:color w:val="auto"/>
          <w:szCs w:val="21"/>
          <w:highlight w:val="none"/>
          <w:lang w:eastAsia="zh-CN"/>
        </w:rPr>
        <w:t>，62224052（</w:t>
      </w:r>
      <w:r>
        <w:rPr>
          <w:rFonts w:hint="eastAsia" w:ascii="宋体" w:hAnsi="宋体" w:eastAsia="宋体" w:cs="Times New Roman"/>
          <w:color w:val="auto"/>
          <w:szCs w:val="21"/>
          <w:highlight w:val="none"/>
          <w:lang w:val="en-US" w:eastAsia="zh-CN"/>
        </w:rPr>
        <w:t>北区医工</w:t>
      </w:r>
      <w:r>
        <w:rPr>
          <w:rFonts w:hint="eastAsia" w:ascii="宋体" w:hAnsi="宋体" w:eastAsia="宋体" w:cs="Times New Roman"/>
          <w:color w:val="auto"/>
          <w:szCs w:val="21"/>
          <w:highlight w:val="none"/>
          <w:lang w:eastAsia="zh-CN"/>
        </w:rPr>
        <w:t>），63362921（</w:t>
      </w:r>
      <w:r>
        <w:rPr>
          <w:rFonts w:hint="eastAsia" w:ascii="宋体" w:hAnsi="宋体" w:eastAsia="宋体" w:cs="Times New Roman"/>
          <w:color w:val="auto"/>
          <w:szCs w:val="21"/>
          <w:highlight w:val="none"/>
          <w:lang w:val="en-US" w:eastAsia="zh-CN"/>
        </w:rPr>
        <w:t>感院医工</w:t>
      </w:r>
      <w:r>
        <w:rPr>
          <w:rFonts w:hint="eastAsia" w:ascii="宋体" w:hAnsi="宋体" w:eastAsia="宋体" w:cs="Times New Roman"/>
          <w:color w:val="auto"/>
          <w:szCs w:val="21"/>
          <w:highlight w:val="none"/>
          <w:lang w:eastAsia="zh-CN"/>
        </w:rPr>
        <w:t>）。</w:t>
      </w:r>
    </w:p>
    <w:p>
      <w:pPr>
        <w:keepNext w:val="0"/>
        <w:keepLines w:val="0"/>
        <w:pageBreakBefore w:val="0"/>
        <w:widowControl w:val="0"/>
        <w:kinsoku/>
        <w:wordWrap/>
        <w:overflowPunct/>
        <w:topLinePunct w:val="0"/>
        <w:autoSpaceDE/>
        <w:autoSpaceDN/>
        <w:bidi w:val="0"/>
        <w:adjustRightInd/>
        <w:snapToGrid w:val="0"/>
        <w:spacing w:line="312" w:lineRule="auto"/>
        <w:ind w:left="0" w:firstLine="420" w:firstLineChars="200"/>
        <w:textAlignment w:val="auto"/>
        <w:rPr>
          <w:rFonts w:hint="eastAsia" w:ascii="宋体" w:hAnsi="宋体" w:eastAsiaTheme="minorEastAsia" w:cstheme="minorBidi"/>
          <w:color w:val="auto"/>
          <w:szCs w:val="21"/>
          <w:highlight w:val="none"/>
          <w:lang w:val="en-US" w:eastAsia="zh-CN"/>
        </w:rPr>
      </w:pPr>
      <w:r>
        <w:rPr>
          <w:rFonts w:hint="eastAsia" w:ascii="宋体" w:hAnsi="宋体" w:eastAsiaTheme="minorEastAsia" w:cstheme="minorBidi"/>
          <w:color w:val="auto"/>
          <w:szCs w:val="21"/>
          <w:highlight w:val="none"/>
          <w:lang w:val="en-US" w:eastAsia="zh-CN"/>
        </w:rPr>
        <w:t>服务</w:t>
      </w:r>
      <w:r>
        <w:rPr>
          <w:rFonts w:hint="eastAsia" w:ascii="宋体" w:hAnsi="宋体" w:eastAsiaTheme="minorEastAsia" w:cstheme="minorBidi"/>
          <w:color w:val="auto"/>
          <w:szCs w:val="21"/>
          <w:highlight w:val="none"/>
        </w:rPr>
        <w:t>地点</w:t>
      </w:r>
      <w:r>
        <w:rPr>
          <w:rFonts w:hint="eastAsia" w:ascii="宋体" w:hAnsi="宋体"/>
          <w:color w:val="auto"/>
          <w:szCs w:val="21"/>
          <w:highlight w:val="none"/>
        </w:rPr>
        <w:t>为</w:t>
      </w:r>
      <w:r>
        <w:rPr>
          <w:rFonts w:hint="eastAsia" w:ascii="宋体" w:hAnsi="宋体" w:eastAsiaTheme="minorEastAsia"/>
          <w:color w:val="auto"/>
          <w:szCs w:val="21"/>
          <w:highlight w:val="none"/>
          <w:u w:val="none"/>
          <w:lang w:val="en-US" w:eastAsia="zh-CN"/>
        </w:rPr>
        <w:t>甲方指定地点</w:t>
      </w:r>
      <w:r>
        <w:rPr>
          <w:rFonts w:hint="eastAsia" w:ascii="宋体" w:hAnsi="宋体" w:eastAsiaTheme="minorEastAsia"/>
          <w:color w:val="auto"/>
          <w:szCs w:val="21"/>
          <w:highlight w:val="none"/>
          <w:lang w:eastAsia="zh-CN"/>
        </w:rPr>
        <w:t>。</w:t>
      </w:r>
      <w:r>
        <w:rPr>
          <w:rFonts w:hint="eastAsia" w:ascii="宋体" w:hAnsi="宋体" w:eastAsiaTheme="minorEastAsia" w:cstheme="minorBidi"/>
          <w:color w:val="auto"/>
          <w:szCs w:val="21"/>
          <w:highlight w:val="none"/>
          <w:lang w:val="en-US" w:eastAsia="zh-CN"/>
        </w:rPr>
        <w:t>服务期间，乙方所交付的产品（根据维保内容可能包含备品备件、更换件、耗材等），必须采取适合的运输及合理包装方式确保货物质量。乙方在提供服务、产品时，需按甲方要求提供相关资质材料、清单等，否则甲方有权拒收验收。履约验收方案按甲方现有管理规定执行。</w:t>
      </w:r>
    </w:p>
    <w:p>
      <w:pPr>
        <w:keepNext w:val="0"/>
        <w:keepLines w:val="0"/>
        <w:pageBreakBefore w:val="0"/>
        <w:widowControl w:val="0"/>
        <w:kinsoku/>
        <w:wordWrap/>
        <w:overflowPunct/>
        <w:topLinePunct w:val="0"/>
        <w:autoSpaceDE/>
        <w:autoSpaceDN/>
        <w:bidi w:val="0"/>
        <w:adjustRightInd/>
        <w:snapToGrid w:val="0"/>
        <w:spacing w:line="312" w:lineRule="auto"/>
        <w:ind w:left="0" w:leftChars="0" w:firstLine="420" w:firstLineChars="200"/>
        <w:textAlignment w:val="auto"/>
        <w:rPr>
          <w:rFonts w:hint="eastAsia" w:ascii="宋体" w:hAnsi="宋体" w:eastAsiaTheme="minorEastAsia" w:cstheme="minorBidi"/>
          <w:color w:val="auto"/>
          <w:szCs w:val="21"/>
          <w:highlight w:val="none"/>
          <w:lang w:val="en-US" w:eastAsia="zh-CN"/>
        </w:rPr>
      </w:pPr>
      <w:r>
        <w:rPr>
          <w:rFonts w:hint="eastAsia" w:ascii="宋体" w:hAnsi="宋体"/>
          <w:color w:val="auto"/>
          <w:szCs w:val="21"/>
          <w:highlight w:val="none"/>
        </w:rPr>
        <w:t>乙方维修、维护完毕后，应当确保设备质量稳定可靠，操作方便，性能、精度等完全符合甲方使用要求和相关行业标准。</w:t>
      </w:r>
    </w:p>
    <w:p>
      <w:pPr>
        <w:keepNext w:val="0"/>
        <w:keepLines w:val="0"/>
        <w:pageBreakBefore w:val="0"/>
        <w:widowControl w:val="0"/>
        <w:kinsoku/>
        <w:wordWrap/>
        <w:overflowPunct/>
        <w:topLinePunct w:val="0"/>
        <w:autoSpaceDE/>
        <w:autoSpaceDN/>
        <w:bidi w:val="0"/>
        <w:adjustRightInd/>
        <w:snapToGrid w:val="0"/>
        <w:spacing w:line="312" w:lineRule="auto"/>
        <w:ind w:firstLine="420" w:firstLineChars="200"/>
        <w:textAlignment w:val="auto"/>
        <w:rPr>
          <w:rFonts w:hint="eastAsia" w:ascii="宋体" w:hAnsi="宋体" w:eastAsia="宋体" w:cs="Times New Roman"/>
          <w:color w:val="auto"/>
          <w:szCs w:val="21"/>
          <w:highlight w:val="none"/>
          <w:lang w:val="en-US" w:eastAsia="zh-CN"/>
        </w:rPr>
      </w:pPr>
      <w:r>
        <w:rPr>
          <w:rFonts w:hint="eastAsia" w:ascii="宋体" w:hAnsi="宋体" w:eastAsia="宋体" w:cs="Times New Roman"/>
          <w:color w:val="auto"/>
          <w:szCs w:val="21"/>
          <w:highlight w:val="none"/>
          <w:lang w:val="en-US" w:eastAsia="zh-CN"/>
        </w:rPr>
        <w:t>2、主体资格：乙方应保证其对所供服务、产品拥有完全的所有权或已得到所有者充分的销售授权，并确保向甲方提供的所有资质文件真实有效。若发生授权资质授权时限临近等影响供货的情况，乙方应保证在授权到期前及时提供新的授权文件。</w:t>
      </w:r>
    </w:p>
    <w:p>
      <w:pPr>
        <w:keepNext w:val="0"/>
        <w:keepLines w:val="0"/>
        <w:pageBreakBefore w:val="0"/>
        <w:widowControl w:val="0"/>
        <w:kinsoku/>
        <w:wordWrap/>
        <w:overflowPunct/>
        <w:topLinePunct w:val="0"/>
        <w:autoSpaceDE/>
        <w:autoSpaceDN/>
        <w:bidi w:val="0"/>
        <w:adjustRightInd/>
        <w:snapToGrid w:val="0"/>
        <w:spacing w:line="312" w:lineRule="auto"/>
        <w:ind w:firstLine="420" w:firstLineChars="200"/>
        <w:textAlignment w:val="auto"/>
        <w:rPr>
          <w:rFonts w:hint="eastAsia" w:ascii="宋体" w:hAnsi="宋体" w:eastAsia="宋体" w:cs="Times New Roman"/>
          <w:color w:val="auto"/>
          <w:szCs w:val="21"/>
          <w:highlight w:val="none"/>
          <w:lang w:val="en-US" w:eastAsia="zh-CN"/>
        </w:rPr>
      </w:pPr>
      <w:r>
        <w:rPr>
          <w:rFonts w:hint="eastAsia" w:ascii="宋体" w:hAnsi="宋体" w:eastAsia="宋体" w:cs="Times New Roman"/>
          <w:color w:val="auto"/>
          <w:szCs w:val="21"/>
          <w:highlight w:val="none"/>
          <w:lang w:val="en-US" w:eastAsia="zh-CN"/>
        </w:rPr>
        <w:t>3、知识产权：乙方承诺，甲方在中华人民共和国境内使用产品（或提供服务）或产品（或提供服务）的某一部分时不侵犯任何第三方的知识产权，如有第三方向甲方提出侵犯其专利权、商标权或其他知识产权的主张，由此造成的一切责任由乙方承担。合同价款已包含产品（或提供服务）所涉及的专利权、商标权或其他知识产权的有关费用及税费（如有），如有第三方向甲方主张前述费用或税费的，应由乙方承担，若因此给甲方造成损失的，乙方还应承担一切责任。</w:t>
      </w:r>
    </w:p>
    <w:p>
      <w:pPr>
        <w:keepNext w:val="0"/>
        <w:keepLines w:val="0"/>
        <w:pageBreakBefore w:val="0"/>
        <w:numPr>
          <w:ilvl w:val="-1"/>
          <w:numId w:val="0"/>
        </w:numPr>
        <w:kinsoku/>
        <w:wordWrap/>
        <w:overflowPunct/>
        <w:topLinePunct w:val="0"/>
        <w:autoSpaceDE/>
        <w:autoSpaceDN/>
        <w:bidi w:val="0"/>
        <w:adjustRightInd/>
        <w:snapToGrid w:val="0"/>
        <w:spacing w:line="312" w:lineRule="auto"/>
        <w:ind w:left="0" w:firstLine="420" w:firstLineChars="200"/>
        <w:textAlignment w:val="auto"/>
        <w:rPr>
          <w:rFonts w:hint="eastAsia"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lang w:val="en-US" w:eastAsia="zh-CN"/>
        </w:rPr>
        <w:t>4、</w:t>
      </w:r>
      <w:r>
        <w:rPr>
          <w:rFonts w:hint="eastAsia" w:ascii="宋体" w:hAnsi="宋体" w:eastAsia="宋体" w:cs="Times New Roman"/>
          <w:color w:val="auto"/>
          <w:sz w:val="21"/>
          <w:szCs w:val="21"/>
          <w:highlight w:val="none"/>
          <w:lang w:eastAsia="zh-CN"/>
        </w:rPr>
        <w:t>乙方须有合格有效的从业资格证书，维修技术人员需具有相应的维修操作证书，乙方应提供良好的技术人员和工具仪器，最佳的服务质量和态度，严格按照本项目的保养标准做好维护保养工作，并认真填写运行报告，使设备处于良好运行状态。</w:t>
      </w:r>
      <w:r>
        <w:rPr>
          <w:rFonts w:hint="eastAsia" w:ascii="宋体" w:hAnsi="宋体" w:eastAsia="宋体" w:cs="Times New Roman"/>
          <w:color w:val="auto"/>
          <w:sz w:val="21"/>
          <w:szCs w:val="21"/>
          <w:highlight w:val="none"/>
        </w:rPr>
        <w:t>如因乙方原因造成设备损坏进一步扩大的，或给甲方造成人身、财产损害的，乙方应承担相应的赔偿责任。</w:t>
      </w:r>
    </w:p>
    <w:p>
      <w:pPr>
        <w:keepNext w:val="0"/>
        <w:keepLines w:val="0"/>
        <w:pageBreakBefore w:val="0"/>
        <w:numPr>
          <w:ilvl w:val="-1"/>
          <w:numId w:val="0"/>
        </w:numPr>
        <w:kinsoku/>
        <w:wordWrap/>
        <w:overflowPunct/>
        <w:topLinePunct w:val="0"/>
        <w:autoSpaceDE/>
        <w:autoSpaceDN/>
        <w:bidi w:val="0"/>
        <w:adjustRightInd/>
        <w:snapToGrid w:val="0"/>
        <w:spacing w:line="312" w:lineRule="auto"/>
        <w:ind w:left="0" w:firstLine="420" w:firstLineChars="200"/>
        <w:textAlignment w:val="auto"/>
        <w:rPr>
          <w:rFonts w:hint="eastAsia"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lang w:val="en-US" w:eastAsia="zh-CN"/>
        </w:rPr>
        <w:t>5、</w:t>
      </w:r>
      <w:r>
        <w:rPr>
          <w:rFonts w:hint="eastAsia" w:ascii="宋体" w:hAnsi="宋体" w:eastAsia="宋体" w:cs="Times New Roman"/>
          <w:color w:val="auto"/>
          <w:sz w:val="21"/>
          <w:szCs w:val="21"/>
          <w:highlight w:val="none"/>
        </w:rPr>
        <w:t>乙方应</w:t>
      </w:r>
      <w:r>
        <w:rPr>
          <w:rFonts w:hint="eastAsia" w:ascii="宋体" w:hAnsi="宋体" w:eastAsia="宋体" w:cs="Times New Roman"/>
          <w:color w:val="auto"/>
          <w:sz w:val="21"/>
          <w:szCs w:val="21"/>
          <w:highlight w:val="none"/>
          <w:lang w:val="en-US" w:eastAsia="zh-CN"/>
        </w:rPr>
        <w:t>当</w:t>
      </w:r>
      <w:r>
        <w:rPr>
          <w:rFonts w:hint="eastAsia" w:ascii="宋体" w:hAnsi="宋体" w:eastAsia="宋体" w:cs="Times New Roman"/>
          <w:color w:val="auto"/>
          <w:sz w:val="21"/>
          <w:szCs w:val="21"/>
          <w:highlight w:val="none"/>
        </w:rPr>
        <w:t>安排</w:t>
      </w:r>
      <w:r>
        <w:rPr>
          <w:rFonts w:hint="eastAsia" w:ascii="宋体" w:hAnsi="宋体" w:eastAsia="宋体" w:cs="Times New Roman"/>
          <w:color w:val="auto"/>
          <w:sz w:val="21"/>
          <w:szCs w:val="21"/>
          <w:highlight w:val="none"/>
          <w:lang w:val="en-US" w:eastAsia="zh-CN"/>
        </w:rPr>
        <w:t>有资质的</w:t>
      </w:r>
      <w:r>
        <w:rPr>
          <w:rFonts w:hint="eastAsia" w:ascii="宋体" w:hAnsi="宋体" w:eastAsia="宋体" w:cs="Times New Roman"/>
          <w:color w:val="auto"/>
          <w:sz w:val="21"/>
          <w:szCs w:val="21"/>
          <w:highlight w:val="none"/>
        </w:rPr>
        <w:t>专人负责本项目，及时响应本合同项下的维修及后续质保服务。乙方应于本合同签订后，将该专人的姓名、职位、联系方式、联系地址等信息提供给甲方。在本合同履行过程中，乙方不得随意更换该项目负责人，若因该员工辞职等原因确有必要更换的，乙方应及时取得甲方的同意并将新的项目负责人的联系方式提供给甲方。</w:t>
      </w:r>
    </w:p>
    <w:p>
      <w:pPr>
        <w:keepNext w:val="0"/>
        <w:keepLines w:val="0"/>
        <w:pageBreakBefore w:val="0"/>
        <w:numPr>
          <w:ilvl w:val="-1"/>
          <w:numId w:val="0"/>
        </w:numPr>
        <w:kinsoku/>
        <w:wordWrap/>
        <w:overflowPunct/>
        <w:topLinePunct w:val="0"/>
        <w:autoSpaceDE/>
        <w:autoSpaceDN/>
        <w:bidi w:val="0"/>
        <w:adjustRightInd/>
        <w:snapToGrid w:val="0"/>
        <w:spacing w:line="312" w:lineRule="auto"/>
        <w:ind w:left="0" w:firstLine="420" w:firstLineChars="200"/>
        <w:textAlignment w:val="auto"/>
        <w:rPr>
          <w:rFonts w:hint="eastAsia"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lang w:val="en-US" w:eastAsia="zh-CN"/>
        </w:rPr>
        <w:t>6、</w:t>
      </w:r>
      <w:r>
        <w:rPr>
          <w:rFonts w:hint="eastAsia" w:ascii="宋体" w:hAnsi="宋体" w:eastAsia="宋体" w:cs="Times New Roman"/>
          <w:color w:val="auto"/>
          <w:sz w:val="21"/>
          <w:szCs w:val="21"/>
          <w:highlight w:val="none"/>
        </w:rPr>
        <w:t>乙方不得将本合同的权利义务分包或转包，不得转让给第三人，否则甲方有权解除本合同。</w:t>
      </w:r>
    </w:p>
    <w:p>
      <w:pPr>
        <w:keepNext w:val="0"/>
        <w:keepLines w:val="0"/>
        <w:pageBreakBefore w:val="0"/>
        <w:numPr>
          <w:ilvl w:val="-1"/>
          <w:numId w:val="0"/>
        </w:numPr>
        <w:kinsoku/>
        <w:wordWrap/>
        <w:overflowPunct/>
        <w:topLinePunct w:val="0"/>
        <w:autoSpaceDE/>
        <w:autoSpaceDN/>
        <w:bidi w:val="0"/>
        <w:adjustRightInd/>
        <w:snapToGrid w:val="0"/>
        <w:spacing w:line="312" w:lineRule="auto"/>
        <w:ind w:left="0" w:firstLine="420" w:firstLineChars="200"/>
        <w:textAlignment w:val="auto"/>
        <w:rPr>
          <w:rFonts w:hint="eastAsia" w:ascii="宋体" w:hAnsi="宋体" w:eastAsia="宋体" w:cs="Times New Roman"/>
          <w:color w:val="auto"/>
          <w:sz w:val="21"/>
          <w:szCs w:val="21"/>
          <w:highlight w:val="none"/>
          <w:lang w:eastAsia="zh-CN"/>
        </w:rPr>
      </w:pPr>
      <w:r>
        <w:rPr>
          <w:rFonts w:hint="eastAsia" w:ascii="宋体" w:hAnsi="宋体" w:eastAsia="宋体" w:cs="Times New Roman"/>
          <w:color w:val="auto"/>
          <w:sz w:val="21"/>
          <w:szCs w:val="21"/>
          <w:highlight w:val="none"/>
          <w:lang w:eastAsia="zh-CN"/>
        </w:rPr>
        <w:t>7、未经甲方书面同意，乙方不得以甲方名义对外进行宣传，包括但不限于使用包含甲方名称、标志、院徽等宣传标语、彩页、广告等（例如“甲方供应商”、“甲方合作单位”等）。</w:t>
      </w:r>
    </w:p>
    <w:p>
      <w:pPr>
        <w:keepNext w:val="0"/>
        <w:keepLines w:val="0"/>
        <w:pageBreakBefore w:val="0"/>
        <w:numPr>
          <w:ilvl w:val="-1"/>
          <w:numId w:val="0"/>
        </w:numPr>
        <w:kinsoku/>
        <w:wordWrap/>
        <w:overflowPunct/>
        <w:topLinePunct w:val="0"/>
        <w:autoSpaceDE/>
        <w:autoSpaceDN/>
        <w:bidi w:val="0"/>
        <w:adjustRightInd/>
        <w:snapToGrid w:val="0"/>
        <w:spacing w:line="312" w:lineRule="auto"/>
        <w:ind w:left="0" w:firstLine="420" w:firstLineChars="200"/>
        <w:textAlignment w:val="auto"/>
        <w:rPr>
          <w:rFonts w:hint="eastAsia" w:ascii="宋体" w:hAnsi="宋体" w:eastAsia="宋体" w:cs="Times New Roman"/>
          <w:color w:val="auto"/>
          <w:sz w:val="21"/>
          <w:szCs w:val="21"/>
          <w:highlight w:val="none"/>
          <w:lang w:val="en-US" w:eastAsia="zh-CN"/>
        </w:rPr>
      </w:pPr>
      <w:r>
        <w:rPr>
          <w:rFonts w:hint="eastAsia" w:ascii="宋体" w:hAnsi="宋体" w:eastAsia="宋体" w:cs="Times New Roman"/>
          <w:color w:val="auto"/>
          <w:sz w:val="21"/>
          <w:szCs w:val="21"/>
          <w:highlight w:val="none"/>
          <w:lang w:val="en-US" w:eastAsia="zh-CN"/>
        </w:rPr>
        <w:t>8、</w:t>
      </w:r>
      <w:r>
        <w:rPr>
          <w:rFonts w:hint="eastAsia" w:ascii="宋体" w:hAnsi="宋体" w:eastAsia="宋体" w:cs="Times New Roman"/>
          <w:color w:val="auto"/>
          <w:sz w:val="21"/>
          <w:szCs w:val="21"/>
          <w:highlight w:val="none"/>
          <w:lang w:eastAsia="zh-CN"/>
        </w:rPr>
        <w:t>乙方须将供应的医用物资包括但不限于医用耗材、检验试剂、后勤物资等，纳入甲方医用物资SPD智慧物流管理模式进行一元化管理，与甲方SPD服务商签订服务协议并承担相关的服务费。</w:t>
      </w:r>
      <w:r>
        <w:rPr>
          <w:rFonts w:hint="eastAsia" w:ascii="宋体" w:hAnsi="宋体" w:eastAsia="宋体" w:cs="Times New Roman"/>
          <w:color w:val="auto"/>
          <w:sz w:val="21"/>
          <w:szCs w:val="21"/>
          <w:highlight w:val="none"/>
          <w:lang w:val="en-US" w:eastAsia="zh-CN"/>
        </w:rPr>
        <w:t>其中医用耗材、试剂的</w:t>
      </w:r>
      <w:r>
        <w:rPr>
          <w:rFonts w:hint="eastAsia" w:ascii="宋体" w:hAnsi="宋体" w:eastAsia="宋体" w:cs="Times New Roman"/>
          <w:color w:val="auto"/>
          <w:sz w:val="21"/>
          <w:szCs w:val="21"/>
          <w:highlight w:val="none"/>
          <w:lang w:eastAsia="zh-CN"/>
        </w:rPr>
        <w:t>具体服务费率由乙方与SPD服务商协商，服务费率不高于医院与SPD服务商约定的收费标准（现行服务费率为供货金额的1%，北城院区为1.2%；如后期甲方与SPD服务商约定的服务费率发生变动，以甲方与SPD服务商签订合同约定的服务费率为准）；</w:t>
      </w:r>
      <w:r>
        <w:rPr>
          <w:rFonts w:hint="eastAsia" w:ascii="宋体" w:hAnsi="宋体" w:eastAsia="宋体" w:cs="Times New Roman"/>
          <w:color w:val="auto"/>
          <w:sz w:val="21"/>
          <w:szCs w:val="21"/>
          <w:highlight w:val="none"/>
          <w:lang w:val="en-US" w:eastAsia="zh-CN"/>
        </w:rPr>
        <w:t>后期物资等其他物资，乙方无需承担服务费</w:t>
      </w:r>
      <w:r>
        <w:rPr>
          <w:rFonts w:hint="eastAsia" w:ascii="宋体" w:hAnsi="宋体" w:eastAsia="宋体" w:cs="Times New Roman"/>
          <w:color w:val="auto"/>
          <w:sz w:val="21"/>
          <w:szCs w:val="21"/>
          <w:highlight w:val="none"/>
          <w:lang w:eastAsia="zh-CN"/>
        </w:rPr>
        <w:t>。如乙方不予配合，甲方有权终止与乙方的</w:t>
      </w:r>
      <w:r>
        <w:rPr>
          <w:rFonts w:hint="eastAsia" w:ascii="宋体" w:hAnsi="宋体" w:eastAsia="宋体" w:cs="Times New Roman"/>
          <w:color w:val="auto"/>
          <w:sz w:val="21"/>
          <w:szCs w:val="21"/>
          <w:highlight w:val="none"/>
          <w:lang w:val="en-US" w:eastAsia="zh-CN"/>
        </w:rPr>
        <w:t>合同</w:t>
      </w:r>
      <w:r>
        <w:rPr>
          <w:rFonts w:hint="eastAsia" w:ascii="宋体" w:hAnsi="宋体" w:eastAsia="宋体" w:cs="Times New Roman"/>
          <w:color w:val="auto"/>
          <w:sz w:val="21"/>
          <w:szCs w:val="21"/>
          <w:highlight w:val="none"/>
          <w:lang w:eastAsia="zh-CN"/>
        </w:rPr>
        <w:t>或选择备选中标人。</w:t>
      </w:r>
    </w:p>
    <w:p>
      <w:pPr>
        <w:keepNext w:val="0"/>
        <w:keepLines w:val="0"/>
        <w:pageBreakBefore w:val="0"/>
        <w:kinsoku/>
        <w:wordWrap/>
        <w:overflowPunct/>
        <w:topLinePunct w:val="0"/>
        <w:autoSpaceDE/>
        <w:autoSpaceDN/>
        <w:bidi w:val="0"/>
        <w:adjustRightInd/>
        <w:spacing w:line="312" w:lineRule="auto"/>
        <w:ind w:firstLine="422" w:firstLineChars="200"/>
        <w:textAlignment w:val="auto"/>
        <w:rPr>
          <w:rFonts w:hint="eastAsia" w:cs="宋体"/>
          <w:b/>
          <w:color w:val="auto"/>
          <w:szCs w:val="21"/>
          <w:highlight w:val="none"/>
          <w:lang w:val="en-US" w:eastAsia="zh-CN" w:bidi="ar"/>
        </w:rPr>
      </w:pPr>
    </w:p>
    <w:p>
      <w:pPr>
        <w:keepNext w:val="0"/>
        <w:keepLines w:val="0"/>
        <w:pageBreakBefore w:val="0"/>
        <w:kinsoku/>
        <w:wordWrap/>
        <w:overflowPunct/>
        <w:topLinePunct w:val="0"/>
        <w:autoSpaceDE/>
        <w:autoSpaceDN/>
        <w:bidi w:val="0"/>
        <w:adjustRightInd/>
        <w:spacing w:line="312" w:lineRule="auto"/>
        <w:ind w:firstLine="422" w:firstLineChars="200"/>
        <w:textAlignment w:val="auto"/>
        <w:rPr>
          <w:rFonts w:hint="eastAsia" w:cs="宋体"/>
          <w:b/>
          <w:color w:val="auto"/>
          <w:szCs w:val="21"/>
          <w:highlight w:val="none"/>
          <w:lang w:val="en-US" w:eastAsia="zh-CN" w:bidi="ar"/>
        </w:rPr>
      </w:pPr>
      <w:r>
        <w:rPr>
          <w:rFonts w:hint="eastAsia" w:cs="宋体"/>
          <w:b/>
          <w:color w:val="auto"/>
          <w:szCs w:val="21"/>
          <w:highlight w:val="none"/>
          <w:lang w:val="en-US" w:eastAsia="zh-CN" w:bidi="ar"/>
        </w:rPr>
        <w:t>五、违约责任</w:t>
      </w:r>
    </w:p>
    <w:p>
      <w:pPr>
        <w:keepNext w:val="0"/>
        <w:keepLines w:val="0"/>
        <w:pageBreakBefore w:val="0"/>
        <w:widowControl/>
        <w:numPr>
          <w:ilvl w:val="-1"/>
          <w:numId w:val="0"/>
        </w:numPr>
        <w:tabs>
          <w:tab w:val="left" w:pos="360"/>
          <w:tab w:val="left" w:pos="6120"/>
        </w:tabs>
        <w:kinsoku/>
        <w:wordWrap/>
        <w:overflowPunct/>
        <w:topLinePunct w:val="0"/>
        <w:autoSpaceDE/>
        <w:autoSpaceDN/>
        <w:bidi w:val="0"/>
        <w:adjustRightInd/>
        <w:snapToGrid w:val="0"/>
        <w:spacing w:line="312" w:lineRule="auto"/>
        <w:ind w:left="0" w:leftChars="0" w:firstLine="420" w:firstLineChars="200"/>
        <w:textAlignment w:val="auto"/>
        <w:rPr>
          <w:rFonts w:hint="eastAsia" w:ascii="宋体" w:hAnsi="宋体" w:eastAsia="宋体"/>
          <w:color w:val="auto"/>
          <w:sz w:val="21"/>
          <w:szCs w:val="21"/>
          <w:highlight w:val="none"/>
        </w:rPr>
      </w:pPr>
      <w:r>
        <w:rPr>
          <w:rFonts w:hint="eastAsia" w:ascii="宋体" w:hAnsi="宋体" w:eastAsia="宋体"/>
          <w:color w:val="auto"/>
          <w:sz w:val="21"/>
          <w:szCs w:val="21"/>
          <w:highlight w:val="none"/>
          <w:lang w:val="en-US" w:eastAsia="zh-CN"/>
        </w:rPr>
        <w:t>（一）</w:t>
      </w:r>
      <w:r>
        <w:rPr>
          <w:rFonts w:hint="eastAsia" w:ascii="宋体" w:hAnsi="宋体" w:eastAsia="宋体"/>
          <w:color w:val="auto"/>
          <w:sz w:val="21"/>
          <w:szCs w:val="21"/>
          <w:highlight w:val="none"/>
        </w:rPr>
        <w:t>如项目</w:t>
      </w:r>
      <w:r>
        <w:rPr>
          <w:rFonts w:hint="eastAsia" w:ascii="宋体" w:hAnsi="宋体" w:eastAsia="宋体"/>
          <w:color w:val="auto"/>
          <w:sz w:val="21"/>
          <w:szCs w:val="21"/>
          <w:highlight w:val="none"/>
          <w:lang w:val="en-US" w:eastAsia="zh-CN"/>
        </w:rPr>
        <w:t>因乙方原因</w:t>
      </w:r>
      <w:r>
        <w:rPr>
          <w:rFonts w:hint="eastAsia" w:ascii="宋体" w:hAnsi="宋体" w:eastAsia="宋体"/>
          <w:color w:val="auto"/>
          <w:sz w:val="21"/>
          <w:szCs w:val="21"/>
          <w:highlight w:val="none"/>
        </w:rPr>
        <w:t>中止，甲方有权通知乙方解除合同，乙方除退回甲方已支付款项外，另需按照合同总金额赔偿甲方因项目失败造成的损失，该等损失包括甲方为此支付的律师费、诉讼费等。</w:t>
      </w:r>
    </w:p>
    <w:p>
      <w:pPr>
        <w:pStyle w:val="22"/>
        <w:keepNext w:val="0"/>
        <w:keepLines w:val="0"/>
        <w:pageBreakBefore w:val="0"/>
        <w:widowControl/>
        <w:numPr>
          <w:ilvl w:val="0"/>
          <w:numId w:val="0"/>
        </w:numPr>
        <w:kinsoku/>
        <w:wordWrap/>
        <w:overflowPunct/>
        <w:topLinePunct w:val="0"/>
        <w:autoSpaceDE/>
        <w:autoSpaceDN/>
        <w:bidi w:val="0"/>
        <w:adjustRightInd/>
        <w:snapToGrid/>
        <w:spacing w:line="312" w:lineRule="auto"/>
        <w:ind w:left="5" w:leftChars="0" w:firstLine="420" w:firstLineChars="200"/>
        <w:textAlignment w:val="auto"/>
        <w:rPr>
          <w:rFonts w:hint="eastAsia" w:ascii="宋体" w:hAnsi="宋体" w:eastAsia="宋体"/>
          <w:color w:val="auto"/>
          <w:sz w:val="21"/>
          <w:szCs w:val="21"/>
          <w:highlight w:val="none"/>
        </w:rPr>
      </w:pPr>
      <w:r>
        <w:rPr>
          <w:rFonts w:hint="eastAsia" w:ascii="宋体" w:hAnsi="宋体" w:eastAsia="宋体"/>
          <w:color w:val="auto"/>
          <w:sz w:val="21"/>
          <w:szCs w:val="21"/>
          <w:highlight w:val="none"/>
          <w:lang w:val="en-US" w:eastAsia="zh-CN"/>
        </w:rPr>
        <w:t>（二）</w:t>
      </w:r>
      <w:r>
        <w:rPr>
          <w:rFonts w:hint="eastAsia" w:ascii="宋体" w:hAnsi="宋体" w:eastAsia="宋体"/>
          <w:color w:val="auto"/>
          <w:sz w:val="21"/>
          <w:szCs w:val="21"/>
          <w:highlight w:val="none"/>
        </w:rPr>
        <w:t>如按违约金方式处理，每逾期一个自然日，乙方应向甲方支付合同总金额0.3 %的违约金。</w:t>
      </w:r>
    </w:p>
    <w:p>
      <w:pPr>
        <w:pStyle w:val="22"/>
        <w:keepNext w:val="0"/>
        <w:keepLines w:val="0"/>
        <w:pageBreakBefore w:val="0"/>
        <w:widowControl/>
        <w:numPr>
          <w:ilvl w:val="0"/>
          <w:numId w:val="0"/>
        </w:numPr>
        <w:kinsoku/>
        <w:wordWrap/>
        <w:overflowPunct/>
        <w:topLinePunct w:val="0"/>
        <w:autoSpaceDE/>
        <w:autoSpaceDN/>
        <w:bidi w:val="0"/>
        <w:adjustRightInd/>
        <w:snapToGrid/>
        <w:spacing w:line="312" w:lineRule="auto"/>
        <w:ind w:left="5" w:leftChars="0" w:firstLine="420" w:firstLineChars="200"/>
        <w:textAlignment w:val="auto"/>
        <w:rPr>
          <w:rFonts w:hint="eastAsia" w:ascii="宋体" w:hAnsi="宋体" w:eastAsia="宋体"/>
          <w:color w:val="auto"/>
          <w:sz w:val="21"/>
          <w:szCs w:val="21"/>
          <w:highlight w:val="none"/>
        </w:rPr>
      </w:pPr>
      <w:r>
        <w:rPr>
          <w:rFonts w:hint="eastAsia" w:ascii="宋体" w:hAnsi="宋体" w:eastAsia="宋体"/>
          <w:color w:val="auto"/>
          <w:sz w:val="21"/>
          <w:szCs w:val="21"/>
          <w:highlight w:val="none"/>
          <w:lang w:val="en-US" w:eastAsia="zh-CN"/>
        </w:rPr>
        <w:t>（三）</w:t>
      </w:r>
      <w:r>
        <w:rPr>
          <w:rFonts w:hint="eastAsia" w:ascii="宋体" w:hAnsi="宋体" w:eastAsia="宋体"/>
          <w:color w:val="auto"/>
          <w:sz w:val="21"/>
          <w:szCs w:val="21"/>
          <w:highlight w:val="none"/>
        </w:rPr>
        <w:t>如乙方服务不及时导致甲方</w:t>
      </w:r>
      <w:r>
        <w:rPr>
          <w:rFonts w:hint="eastAsia" w:ascii="宋体" w:hAnsi="宋体" w:eastAsia="宋体"/>
          <w:color w:val="auto"/>
          <w:sz w:val="21"/>
          <w:szCs w:val="21"/>
          <w:highlight w:val="none"/>
          <w:lang w:val="en-US" w:eastAsia="zh-CN"/>
        </w:rPr>
        <w:t>设备</w:t>
      </w:r>
      <w:r>
        <w:rPr>
          <w:rFonts w:hint="eastAsia" w:ascii="宋体" w:hAnsi="宋体" w:eastAsia="宋体"/>
          <w:color w:val="auto"/>
          <w:sz w:val="21"/>
          <w:szCs w:val="21"/>
          <w:highlight w:val="none"/>
        </w:rPr>
        <w:t>不能正常运行，乙方需每自然日支付合同总金额的0.3%的处罚金。如因甲方原因，</w:t>
      </w:r>
      <w:r>
        <w:rPr>
          <w:rFonts w:hint="eastAsia" w:ascii="宋体" w:hAnsi="宋体" w:eastAsia="宋体"/>
          <w:color w:val="auto"/>
          <w:sz w:val="21"/>
          <w:szCs w:val="21"/>
          <w:highlight w:val="none"/>
          <w:lang w:val="en-US" w:eastAsia="zh-CN"/>
        </w:rPr>
        <w:t>则</w:t>
      </w:r>
      <w:r>
        <w:rPr>
          <w:rFonts w:hint="eastAsia" w:ascii="宋体" w:hAnsi="宋体" w:eastAsia="宋体"/>
          <w:color w:val="auto"/>
          <w:sz w:val="21"/>
          <w:szCs w:val="21"/>
          <w:highlight w:val="none"/>
        </w:rPr>
        <w:t>乙方不承担责任。</w:t>
      </w:r>
    </w:p>
    <w:p>
      <w:pPr>
        <w:pStyle w:val="22"/>
        <w:keepNext w:val="0"/>
        <w:keepLines w:val="0"/>
        <w:pageBreakBefore w:val="0"/>
        <w:widowControl/>
        <w:numPr>
          <w:ilvl w:val="0"/>
          <w:numId w:val="0"/>
        </w:numPr>
        <w:kinsoku/>
        <w:wordWrap/>
        <w:overflowPunct/>
        <w:topLinePunct w:val="0"/>
        <w:autoSpaceDE/>
        <w:autoSpaceDN/>
        <w:bidi w:val="0"/>
        <w:adjustRightInd/>
        <w:snapToGrid/>
        <w:spacing w:line="312" w:lineRule="auto"/>
        <w:ind w:left="6" w:leftChars="0" w:firstLine="420" w:firstLineChars="200"/>
        <w:textAlignment w:val="auto"/>
        <w:rPr>
          <w:rFonts w:hint="eastAsia" w:ascii="宋体" w:hAnsi="宋体" w:eastAsia="宋体"/>
          <w:color w:val="auto"/>
          <w:sz w:val="21"/>
          <w:szCs w:val="21"/>
          <w:highlight w:val="none"/>
        </w:rPr>
      </w:pPr>
      <w:r>
        <w:rPr>
          <w:rFonts w:hint="eastAsia" w:ascii="宋体" w:hAnsi="宋体" w:eastAsia="宋体"/>
          <w:color w:val="auto"/>
          <w:sz w:val="21"/>
          <w:szCs w:val="21"/>
          <w:highlight w:val="none"/>
          <w:lang w:val="en-US" w:eastAsia="zh-CN"/>
        </w:rPr>
        <w:t>（四）因乙方交付的产品不符合国家、行业或者本合同约定的质量标准，或者乙方交付的产品存在侵犯第三方权益的情形，乙方必须重新提供符合质量标准且不侵犯任何第三方权益的产品，由此所造成的损失和责任，全部由乙方承担</w:t>
      </w:r>
      <w:r>
        <w:rPr>
          <w:rFonts w:hint="eastAsia" w:ascii="宋体" w:hAnsi="宋体" w:eastAsia="宋体"/>
          <w:color w:val="auto"/>
          <w:sz w:val="21"/>
          <w:szCs w:val="21"/>
          <w:highlight w:val="none"/>
        </w:rPr>
        <w:t>。</w:t>
      </w:r>
    </w:p>
    <w:p>
      <w:pPr>
        <w:pStyle w:val="22"/>
        <w:keepNext w:val="0"/>
        <w:keepLines w:val="0"/>
        <w:pageBreakBefore w:val="0"/>
        <w:widowControl/>
        <w:numPr>
          <w:ilvl w:val="0"/>
          <w:numId w:val="0"/>
        </w:numPr>
        <w:kinsoku/>
        <w:wordWrap/>
        <w:overflowPunct/>
        <w:topLinePunct w:val="0"/>
        <w:autoSpaceDE/>
        <w:autoSpaceDN/>
        <w:bidi w:val="0"/>
        <w:adjustRightInd/>
        <w:snapToGrid/>
        <w:spacing w:line="312" w:lineRule="auto"/>
        <w:ind w:left="6" w:leftChars="0" w:firstLine="420" w:firstLineChars="200"/>
        <w:textAlignment w:val="auto"/>
        <w:rPr>
          <w:rFonts w:hint="eastAsia" w:ascii="宋体" w:hAnsi="宋体" w:eastAsia="宋体"/>
          <w:color w:val="auto"/>
          <w:sz w:val="21"/>
          <w:szCs w:val="21"/>
          <w:highlight w:val="none"/>
          <w:lang w:val="en-US" w:eastAsia="zh-CN"/>
        </w:rPr>
      </w:pPr>
      <w:r>
        <w:rPr>
          <w:rFonts w:hint="eastAsia" w:ascii="宋体" w:hAnsi="宋体" w:eastAsia="宋体"/>
          <w:color w:val="auto"/>
          <w:sz w:val="21"/>
          <w:szCs w:val="21"/>
          <w:highlight w:val="none"/>
          <w:lang w:val="en-US" w:eastAsia="zh-CN"/>
        </w:rPr>
        <w:t>（五）乙方在本项目下中标的所有产品，均应确保正常供货。若甲方需要，乙方不得以任何理由或形式（包含但不限于授权资质发生变更、故意拖延、以次充好、产品停产等）选择性供货、中断供应等，否则视为乙方违约，甲方有权采取以下措施：（1）解除合同；（2）扣除质保金；（3）列入不良行为记录名单，在2年内不得参加甲方组织的任何招标采购项目；（4）要求乙方赔偿甲方所有损失。</w:t>
      </w:r>
    </w:p>
    <w:p>
      <w:pPr>
        <w:pStyle w:val="22"/>
        <w:keepNext w:val="0"/>
        <w:keepLines w:val="0"/>
        <w:pageBreakBefore w:val="0"/>
        <w:widowControl/>
        <w:numPr>
          <w:ilvl w:val="0"/>
          <w:numId w:val="0"/>
        </w:numPr>
        <w:kinsoku/>
        <w:wordWrap/>
        <w:overflowPunct/>
        <w:topLinePunct w:val="0"/>
        <w:autoSpaceDE/>
        <w:autoSpaceDN/>
        <w:bidi w:val="0"/>
        <w:adjustRightInd/>
        <w:snapToGrid/>
        <w:spacing w:line="312" w:lineRule="auto"/>
        <w:ind w:left="6" w:leftChars="0" w:firstLine="420" w:firstLineChars="200"/>
        <w:textAlignment w:val="auto"/>
        <w:rPr>
          <w:rFonts w:hint="eastAsia" w:ascii="宋体" w:hAnsi="宋体" w:eastAsia="宋体"/>
          <w:color w:val="auto"/>
          <w:sz w:val="21"/>
          <w:szCs w:val="21"/>
          <w:highlight w:val="none"/>
          <w:lang w:val="en-US" w:eastAsia="zh-CN"/>
        </w:rPr>
      </w:pPr>
      <w:r>
        <w:rPr>
          <w:rFonts w:hint="eastAsia" w:ascii="宋体" w:hAnsi="宋体" w:eastAsia="宋体"/>
          <w:color w:val="auto"/>
          <w:sz w:val="21"/>
          <w:szCs w:val="21"/>
          <w:highlight w:val="none"/>
          <w:lang w:val="en-US" w:eastAsia="zh-CN"/>
        </w:rPr>
        <w:t>（六）乙方应遵守甲方廉洁条款的约定，如违反的，甲方有权解除本合同，并要求乙方按本合同总金额的20%向甲方支付违约金。</w:t>
      </w:r>
    </w:p>
    <w:p>
      <w:pPr>
        <w:pStyle w:val="22"/>
        <w:keepNext w:val="0"/>
        <w:keepLines w:val="0"/>
        <w:pageBreakBefore w:val="0"/>
        <w:widowControl/>
        <w:numPr>
          <w:ilvl w:val="0"/>
          <w:numId w:val="0"/>
        </w:numPr>
        <w:kinsoku/>
        <w:wordWrap/>
        <w:overflowPunct/>
        <w:topLinePunct w:val="0"/>
        <w:autoSpaceDE/>
        <w:autoSpaceDN/>
        <w:bidi w:val="0"/>
        <w:adjustRightInd/>
        <w:spacing w:line="312" w:lineRule="auto"/>
        <w:ind w:left="6" w:firstLine="420" w:firstLineChars="200"/>
        <w:textAlignment w:val="auto"/>
        <w:rPr>
          <w:rFonts w:hint="eastAsia" w:ascii="宋体" w:hAnsi="宋体" w:eastAsia="宋体"/>
          <w:color w:val="auto"/>
          <w:sz w:val="21"/>
          <w:szCs w:val="21"/>
          <w:highlight w:val="none"/>
          <w:lang w:val="en-US" w:eastAsia="zh-CN"/>
        </w:rPr>
      </w:pPr>
      <w:r>
        <w:rPr>
          <w:rFonts w:hint="eastAsia" w:ascii="宋体" w:hAnsi="宋体" w:eastAsia="宋体"/>
          <w:color w:val="auto"/>
          <w:sz w:val="21"/>
          <w:szCs w:val="21"/>
          <w:highlight w:val="none"/>
          <w:lang w:val="en-US" w:eastAsia="zh-CN"/>
        </w:rPr>
        <w:t>（七）乙方依据上述约定承担违约金、赔偿金（含甲方为此支付的律师费、诉讼费等）的，甲方有权从价款或者质保金中扣除。</w:t>
      </w:r>
    </w:p>
    <w:p>
      <w:pPr>
        <w:pStyle w:val="22"/>
        <w:keepNext w:val="0"/>
        <w:keepLines w:val="0"/>
        <w:pageBreakBefore w:val="0"/>
        <w:widowControl/>
        <w:numPr>
          <w:ilvl w:val="0"/>
          <w:numId w:val="0"/>
        </w:numPr>
        <w:kinsoku/>
        <w:wordWrap/>
        <w:overflowPunct/>
        <w:topLinePunct w:val="0"/>
        <w:autoSpaceDE/>
        <w:autoSpaceDN/>
        <w:bidi w:val="0"/>
        <w:adjustRightInd/>
        <w:snapToGrid/>
        <w:spacing w:line="312" w:lineRule="auto"/>
        <w:ind w:left="6" w:firstLine="420" w:firstLineChars="200"/>
        <w:textAlignment w:val="auto"/>
        <w:rPr>
          <w:rFonts w:hint="eastAsia" w:ascii="宋体" w:hAnsi="宋体" w:eastAsia="宋体"/>
          <w:color w:val="auto"/>
          <w:szCs w:val="21"/>
          <w:highlight w:val="none"/>
        </w:rPr>
      </w:pPr>
      <w:r>
        <w:rPr>
          <w:rFonts w:hint="eastAsia" w:ascii="宋体" w:hAnsi="宋体" w:eastAsia="宋体"/>
          <w:color w:val="auto"/>
          <w:sz w:val="21"/>
          <w:szCs w:val="21"/>
          <w:highlight w:val="none"/>
          <w:lang w:val="en-US" w:eastAsia="zh-CN"/>
        </w:rPr>
        <w:t>（八）</w:t>
      </w:r>
      <w:r>
        <w:rPr>
          <w:rFonts w:hint="eastAsia" w:ascii="宋体" w:hAnsi="宋体" w:eastAsia="宋体"/>
          <w:color w:val="auto"/>
          <w:szCs w:val="21"/>
          <w:highlight w:val="none"/>
          <w:lang w:val="en-US" w:eastAsia="zh-CN"/>
        </w:rPr>
        <w:t>因</w:t>
      </w:r>
      <w:r>
        <w:rPr>
          <w:rFonts w:hint="eastAsia" w:ascii="宋体" w:hAnsi="宋体" w:eastAsia="宋体"/>
          <w:color w:val="auto"/>
          <w:szCs w:val="21"/>
          <w:highlight w:val="none"/>
        </w:rPr>
        <w:t>不可抗力因素，如自然灾害、疫情等人类无法控制的灾害事故，或社会原因，如国家法律法规政策发生重大调整或医院发展阶段化目标及需求变动时，甲方有权终止合同或经双方协商后变更合同内容，合同解除或者内容变更的，双方都无需向对方承担违约责任。</w:t>
      </w:r>
    </w:p>
    <w:p>
      <w:pPr>
        <w:pStyle w:val="22"/>
        <w:keepNext w:val="0"/>
        <w:keepLines w:val="0"/>
        <w:pageBreakBefore w:val="0"/>
        <w:widowControl/>
        <w:numPr>
          <w:ilvl w:val="0"/>
          <w:numId w:val="0"/>
        </w:numPr>
        <w:kinsoku/>
        <w:wordWrap/>
        <w:overflowPunct/>
        <w:topLinePunct w:val="0"/>
        <w:autoSpaceDE/>
        <w:autoSpaceDN/>
        <w:bidi w:val="0"/>
        <w:adjustRightInd/>
        <w:snapToGrid/>
        <w:spacing w:line="312" w:lineRule="auto"/>
        <w:ind w:left="6" w:leftChars="0" w:firstLine="420" w:firstLineChars="200"/>
        <w:textAlignment w:val="auto"/>
        <w:rPr>
          <w:rFonts w:hint="eastAsia" w:ascii="宋体" w:hAnsi="宋体" w:eastAsia="宋体"/>
          <w:color w:val="auto"/>
          <w:sz w:val="21"/>
          <w:szCs w:val="21"/>
          <w:highlight w:val="none"/>
        </w:rPr>
      </w:pPr>
      <w:r>
        <w:rPr>
          <w:rFonts w:hint="eastAsia" w:ascii="宋体" w:hAnsi="宋体" w:eastAsia="宋体"/>
          <w:color w:val="auto"/>
          <w:szCs w:val="21"/>
          <w:highlight w:val="none"/>
          <w:lang w:eastAsia="zh-CN"/>
        </w:rPr>
        <w:t>（</w:t>
      </w:r>
      <w:r>
        <w:rPr>
          <w:rFonts w:hint="eastAsia" w:ascii="宋体" w:hAnsi="宋体" w:eastAsia="宋体"/>
          <w:color w:val="auto"/>
          <w:szCs w:val="21"/>
          <w:highlight w:val="none"/>
          <w:lang w:val="en-US" w:eastAsia="zh-CN"/>
        </w:rPr>
        <w:t>九</w:t>
      </w:r>
      <w:r>
        <w:rPr>
          <w:rFonts w:hint="eastAsia" w:ascii="宋体" w:hAnsi="宋体" w:eastAsia="宋体"/>
          <w:color w:val="auto"/>
          <w:szCs w:val="21"/>
          <w:highlight w:val="none"/>
          <w:lang w:eastAsia="zh-CN"/>
        </w:rPr>
        <w:t>）</w:t>
      </w:r>
      <w:r>
        <w:rPr>
          <w:rFonts w:hint="eastAsia" w:ascii="宋体" w:hAnsi="宋体" w:eastAsia="宋体"/>
          <w:color w:val="auto"/>
          <w:sz w:val="21"/>
          <w:szCs w:val="21"/>
          <w:highlight w:val="none"/>
        </w:rPr>
        <w:t>乙方接到甲方</w:t>
      </w:r>
      <w:r>
        <w:rPr>
          <w:rFonts w:hint="eastAsia" w:ascii="宋体" w:hAnsi="宋体" w:eastAsia="宋体"/>
          <w:color w:val="auto"/>
          <w:sz w:val="21"/>
          <w:szCs w:val="21"/>
          <w:highlight w:val="none"/>
          <w:lang w:val="en-US" w:eastAsia="zh-CN"/>
        </w:rPr>
        <w:t>通知</w:t>
      </w:r>
      <w:r>
        <w:rPr>
          <w:rFonts w:hint="eastAsia" w:ascii="宋体" w:hAnsi="宋体" w:eastAsia="宋体"/>
          <w:color w:val="auto"/>
          <w:sz w:val="21"/>
          <w:szCs w:val="21"/>
          <w:highlight w:val="none"/>
        </w:rPr>
        <w:t>后须在承诺应急响应时间内到达现场进行维保；如未在规定时间内到场，超过应急响应时间5小时（含）之内，甲方有权按每小时500元标准要求乙方支付违约金（不足1小时按1小时计算，下同）；如超过应急响应时间5小时以上，甲方有权立即解除合同，乙方应按合同价的20%向甲方支付违约金</w:t>
      </w:r>
      <w:r>
        <w:rPr>
          <w:rFonts w:hint="eastAsia" w:ascii="宋体" w:hAnsi="宋体" w:eastAsia="宋体"/>
          <w:color w:val="auto"/>
          <w:sz w:val="21"/>
          <w:szCs w:val="21"/>
          <w:highlight w:val="none"/>
          <w:lang w:eastAsia="zh-CN"/>
        </w:rPr>
        <w:t>，</w:t>
      </w:r>
      <w:r>
        <w:rPr>
          <w:rFonts w:hint="eastAsia" w:ascii="宋体" w:hAnsi="宋体" w:eastAsia="宋体"/>
          <w:color w:val="auto"/>
          <w:sz w:val="21"/>
          <w:szCs w:val="21"/>
          <w:highlight w:val="none"/>
        </w:rPr>
        <w:t>并有权要求乙方赔偿因违约行为而遭致的损失以及为此支付的律师费、诉讼费等。</w:t>
      </w:r>
    </w:p>
    <w:p>
      <w:pPr>
        <w:pStyle w:val="22"/>
        <w:keepNext w:val="0"/>
        <w:keepLines w:val="0"/>
        <w:pageBreakBefore w:val="0"/>
        <w:widowControl/>
        <w:numPr>
          <w:ilvl w:val="0"/>
          <w:numId w:val="0"/>
        </w:numPr>
        <w:kinsoku/>
        <w:wordWrap/>
        <w:overflowPunct/>
        <w:topLinePunct w:val="0"/>
        <w:autoSpaceDE/>
        <w:autoSpaceDN/>
        <w:bidi w:val="0"/>
        <w:adjustRightInd/>
        <w:snapToGrid/>
        <w:spacing w:line="312" w:lineRule="auto"/>
        <w:ind w:left="6" w:leftChars="0" w:firstLine="420" w:firstLineChars="200"/>
        <w:textAlignment w:val="auto"/>
        <w:rPr>
          <w:rFonts w:hint="eastAsia" w:ascii="宋体" w:hAnsi="宋体" w:eastAsia="宋体"/>
          <w:color w:val="auto"/>
          <w:sz w:val="21"/>
          <w:szCs w:val="21"/>
          <w:highlight w:val="none"/>
        </w:rPr>
      </w:pPr>
      <w:r>
        <w:rPr>
          <w:rFonts w:hint="eastAsia" w:ascii="宋体" w:hAnsi="宋体" w:eastAsia="宋体"/>
          <w:color w:val="auto"/>
          <w:sz w:val="21"/>
          <w:szCs w:val="21"/>
          <w:highlight w:val="none"/>
          <w:lang w:eastAsia="zh-CN"/>
        </w:rPr>
        <w:t>（</w:t>
      </w:r>
      <w:r>
        <w:rPr>
          <w:rFonts w:hint="eastAsia" w:ascii="宋体" w:hAnsi="宋体" w:eastAsia="宋体"/>
          <w:color w:val="auto"/>
          <w:sz w:val="21"/>
          <w:szCs w:val="21"/>
          <w:highlight w:val="none"/>
          <w:lang w:val="en-US" w:eastAsia="zh-CN"/>
        </w:rPr>
        <w:t>十</w:t>
      </w:r>
      <w:r>
        <w:rPr>
          <w:rFonts w:hint="eastAsia" w:ascii="宋体" w:hAnsi="宋体" w:eastAsia="宋体"/>
          <w:color w:val="auto"/>
          <w:sz w:val="21"/>
          <w:szCs w:val="21"/>
          <w:highlight w:val="none"/>
          <w:lang w:eastAsia="zh-CN"/>
        </w:rPr>
        <w:t>）</w:t>
      </w:r>
      <w:r>
        <w:rPr>
          <w:rFonts w:hint="eastAsia" w:ascii="宋体" w:hAnsi="宋体" w:eastAsia="宋体"/>
          <w:color w:val="auto"/>
          <w:sz w:val="21"/>
          <w:szCs w:val="21"/>
          <w:highlight w:val="none"/>
        </w:rPr>
        <w:t>乙方维修期间因乙方原因发生设备、人身等事故由乙方承担赔偿责任，维修及往返在途期间违反安全</w:t>
      </w:r>
      <w:r>
        <w:rPr>
          <w:rFonts w:hint="eastAsia" w:ascii="宋体" w:hAnsi="宋体" w:eastAsia="宋体"/>
          <w:color w:val="auto"/>
          <w:sz w:val="21"/>
          <w:szCs w:val="21"/>
          <w:highlight w:val="none"/>
          <w:lang w:val="en-US" w:eastAsia="zh-CN"/>
        </w:rPr>
        <w:t>法规及操作</w:t>
      </w:r>
      <w:r>
        <w:rPr>
          <w:rFonts w:hint="eastAsia" w:ascii="宋体" w:hAnsi="宋体" w:eastAsia="宋体"/>
          <w:color w:val="auto"/>
          <w:sz w:val="21"/>
          <w:szCs w:val="21"/>
          <w:highlight w:val="none"/>
        </w:rPr>
        <w:t>规程所造成的事故</w:t>
      </w:r>
      <w:r>
        <w:rPr>
          <w:rFonts w:hint="eastAsia" w:ascii="宋体" w:hAnsi="宋体" w:eastAsia="宋体"/>
          <w:color w:val="auto"/>
          <w:sz w:val="21"/>
          <w:szCs w:val="21"/>
          <w:highlight w:val="none"/>
          <w:lang w:val="en-US" w:eastAsia="zh-CN"/>
        </w:rPr>
        <w:t>或第三方事故</w:t>
      </w:r>
      <w:r>
        <w:rPr>
          <w:rFonts w:hint="eastAsia" w:ascii="宋体" w:hAnsi="宋体" w:eastAsia="宋体"/>
          <w:color w:val="auto"/>
          <w:sz w:val="21"/>
          <w:szCs w:val="21"/>
          <w:highlight w:val="none"/>
        </w:rPr>
        <w:t>，均由乙方承担责任。</w:t>
      </w:r>
    </w:p>
    <w:p>
      <w:pPr>
        <w:pStyle w:val="22"/>
        <w:keepNext w:val="0"/>
        <w:keepLines w:val="0"/>
        <w:pageBreakBefore w:val="0"/>
        <w:widowControl/>
        <w:numPr>
          <w:ilvl w:val="0"/>
          <w:numId w:val="0"/>
        </w:numPr>
        <w:kinsoku/>
        <w:wordWrap/>
        <w:overflowPunct/>
        <w:topLinePunct w:val="0"/>
        <w:autoSpaceDE/>
        <w:autoSpaceDN/>
        <w:bidi w:val="0"/>
        <w:adjustRightInd/>
        <w:snapToGrid/>
        <w:spacing w:line="312" w:lineRule="auto"/>
        <w:ind w:left="6" w:leftChars="0" w:firstLine="420" w:firstLineChars="200"/>
        <w:textAlignment w:val="auto"/>
        <w:rPr>
          <w:rFonts w:hint="eastAsia" w:ascii="宋体" w:hAnsi="宋体" w:eastAsia="宋体"/>
          <w:color w:val="auto"/>
          <w:sz w:val="21"/>
          <w:szCs w:val="21"/>
          <w:highlight w:val="none"/>
          <w:lang w:eastAsia="zh-CN"/>
        </w:rPr>
      </w:pPr>
      <w:r>
        <w:rPr>
          <w:rFonts w:hint="eastAsia" w:ascii="宋体" w:hAnsi="宋体" w:eastAsia="宋体"/>
          <w:color w:val="auto"/>
          <w:sz w:val="21"/>
          <w:szCs w:val="21"/>
          <w:highlight w:val="none"/>
          <w:lang w:eastAsia="zh-CN"/>
        </w:rPr>
        <w:t>（</w:t>
      </w:r>
      <w:r>
        <w:rPr>
          <w:rFonts w:hint="eastAsia" w:ascii="宋体" w:hAnsi="宋体" w:eastAsia="宋体"/>
          <w:color w:val="auto"/>
          <w:sz w:val="21"/>
          <w:szCs w:val="21"/>
          <w:highlight w:val="none"/>
          <w:lang w:val="en-US" w:eastAsia="zh-CN"/>
        </w:rPr>
        <w:t>十一</w:t>
      </w:r>
      <w:r>
        <w:rPr>
          <w:rFonts w:hint="eastAsia" w:ascii="宋体" w:hAnsi="宋体" w:eastAsia="宋体"/>
          <w:color w:val="auto"/>
          <w:sz w:val="21"/>
          <w:szCs w:val="21"/>
          <w:highlight w:val="none"/>
          <w:lang w:eastAsia="zh-CN"/>
        </w:rPr>
        <w:t>）乙方须配合甲方医用物资SPD智慧物流管理模式，如乙方不予配合，甲方有权终止与乙方的合同，且无需承担任何责任。如因乙方不配合造成甲方的所有损失，由乙方承担。</w:t>
      </w:r>
    </w:p>
    <w:p>
      <w:pPr>
        <w:pStyle w:val="22"/>
        <w:keepNext w:val="0"/>
        <w:keepLines w:val="0"/>
        <w:pageBreakBefore w:val="0"/>
        <w:widowControl/>
        <w:numPr>
          <w:ilvl w:val="0"/>
          <w:numId w:val="0"/>
        </w:numPr>
        <w:kinsoku/>
        <w:wordWrap/>
        <w:overflowPunct/>
        <w:topLinePunct w:val="0"/>
        <w:autoSpaceDE/>
        <w:autoSpaceDN/>
        <w:bidi w:val="0"/>
        <w:adjustRightInd/>
        <w:snapToGrid/>
        <w:spacing w:line="312" w:lineRule="auto"/>
        <w:ind w:left="6" w:leftChars="0" w:firstLine="420" w:firstLineChars="200"/>
        <w:textAlignment w:val="auto"/>
        <w:rPr>
          <w:rFonts w:hint="eastAsia" w:ascii="宋体" w:hAnsi="宋体" w:eastAsia="宋体"/>
          <w:color w:val="auto"/>
          <w:sz w:val="21"/>
          <w:szCs w:val="21"/>
          <w:highlight w:val="none"/>
          <w:lang w:val="en-US" w:eastAsia="zh-CN"/>
        </w:rPr>
      </w:pPr>
      <w:r>
        <w:rPr>
          <w:rFonts w:hint="eastAsia" w:ascii="宋体" w:hAnsi="宋体" w:eastAsia="宋体"/>
          <w:color w:val="auto"/>
          <w:sz w:val="21"/>
          <w:szCs w:val="21"/>
          <w:highlight w:val="none"/>
          <w:lang w:val="en-US" w:eastAsia="zh-CN"/>
        </w:rPr>
        <w:t>（十二）乙方未及时提供或替换已到期保函（或其他凭证），乙方每逾期一日按甲方已支付价款的0.1%承担违约金，由此造成甲方的一切损失由乙方承担。</w:t>
      </w:r>
    </w:p>
    <w:p>
      <w:pPr>
        <w:keepNext w:val="0"/>
        <w:keepLines w:val="0"/>
        <w:pageBreakBefore w:val="0"/>
        <w:kinsoku/>
        <w:wordWrap/>
        <w:overflowPunct/>
        <w:topLinePunct w:val="0"/>
        <w:autoSpaceDE/>
        <w:autoSpaceDN/>
        <w:bidi w:val="0"/>
        <w:adjustRightInd/>
        <w:spacing w:line="312" w:lineRule="auto"/>
        <w:ind w:firstLine="422" w:firstLineChars="200"/>
        <w:textAlignment w:val="auto"/>
        <w:rPr>
          <w:rFonts w:hint="eastAsia" w:cs="宋体"/>
          <w:b/>
          <w:color w:val="auto"/>
          <w:szCs w:val="21"/>
          <w:highlight w:val="none"/>
          <w:lang w:val="en-US" w:eastAsia="zh-CN" w:bidi="ar"/>
        </w:rPr>
      </w:pPr>
    </w:p>
    <w:p>
      <w:pPr>
        <w:keepNext w:val="0"/>
        <w:keepLines w:val="0"/>
        <w:pageBreakBefore w:val="0"/>
        <w:kinsoku/>
        <w:wordWrap/>
        <w:overflowPunct/>
        <w:topLinePunct w:val="0"/>
        <w:autoSpaceDE/>
        <w:autoSpaceDN/>
        <w:bidi w:val="0"/>
        <w:adjustRightInd/>
        <w:spacing w:line="312" w:lineRule="auto"/>
        <w:ind w:firstLine="422" w:firstLineChars="200"/>
        <w:textAlignment w:val="auto"/>
        <w:rPr>
          <w:rFonts w:hint="eastAsia" w:cs="宋体"/>
          <w:b/>
          <w:color w:val="auto"/>
          <w:szCs w:val="21"/>
          <w:highlight w:val="none"/>
          <w:lang w:val="en-US" w:eastAsia="zh-CN" w:bidi="ar"/>
        </w:rPr>
      </w:pPr>
      <w:r>
        <w:rPr>
          <w:rFonts w:hint="eastAsia" w:cs="宋体"/>
          <w:b/>
          <w:color w:val="auto"/>
          <w:szCs w:val="21"/>
          <w:highlight w:val="none"/>
          <w:lang w:val="en-US" w:eastAsia="zh-CN" w:bidi="ar"/>
        </w:rPr>
        <w:t>六、保密</w:t>
      </w:r>
    </w:p>
    <w:p>
      <w:pPr>
        <w:pStyle w:val="22"/>
        <w:keepNext w:val="0"/>
        <w:keepLines w:val="0"/>
        <w:pageBreakBefore w:val="0"/>
        <w:widowControl/>
        <w:numPr>
          <w:ilvl w:val="0"/>
          <w:numId w:val="0"/>
        </w:numPr>
        <w:kinsoku/>
        <w:wordWrap/>
        <w:overflowPunct/>
        <w:topLinePunct w:val="0"/>
        <w:autoSpaceDE/>
        <w:autoSpaceDN/>
        <w:bidi w:val="0"/>
        <w:adjustRightInd/>
        <w:snapToGrid/>
        <w:spacing w:line="312" w:lineRule="auto"/>
        <w:ind w:left="5" w:leftChars="0" w:firstLine="420" w:firstLineChars="200"/>
        <w:textAlignment w:val="auto"/>
        <w:rPr>
          <w:rFonts w:hint="eastAsia" w:ascii="宋体" w:hAnsi="宋体" w:eastAsia="宋体"/>
          <w:color w:val="auto"/>
          <w:sz w:val="21"/>
          <w:szCs w:val="21"/>
          <w:highlight w:val="none"/>
          <w:lang w:val="en-US" w:eastAsia="zh-CN"/>
        </w:rPr>
      </w:pPr>
      <w:r>
        <w:rPr>
          <w:rFonts w:hint="eastAsia" w:ascii="宋体" w:hAnsi="宋体" w:eastAsia="宋体"/>
          <w:color w:val="auto"/>
          <w:sz w:val="21"/>
          <w:szCs w:val="21"/>
          <w:highlight w:val="none"/>
          <w:lang w:val="en-US" w:eastAsia="zh-CN"/>
        </w:rPr>
        <w:t>合同执行过程中因服务需要，甲方向乙方提供的信息或者乙方获取的信息，包括但不限于技术性信息、商业性信息、文件、数据以及患者的个人信息、其他专有信息等，只能由乙方及其工作人员为本合同目的而使用。除本合同另有规定外，对于甲方提供的任何信息，未经甲方的书面同意，乙方及其知悉信息的人员均不得直接或间接的以任何方式提供或披露给任何第三方，否则，乙方须承担违约责任。</w:t>
      </w:r>
    </w:p>
    <w:p>
      <w:pPr>
        <w:pStyle w:val="22"/>
        <w:keepNext w:val="0"/>
        <w:keepLines w:val="0"/>
        <w:pageBreakBefore w:val="0"/>
        <w:widowControl/>
        <w:numPr>
          <w:ilvl w:val="0"/>
          <w:numId w:val="0"/>
        </w:numPr>
        <w:kinsoku/>
        <w:wordWrap/>
        <w:overflowPunct/>
        <w:topLinePunct w:val="0"/>
        <w:autoSpaceDE/>
        <w:autoSpaceDN/>
        <w:bidi w:val="0"/>
        <w:adjustRightInd/>
        <w:snapToGrid/>
        <w:spacing w:line="312" w:lineRule="auto"/>
        <w:ind w:left="5" w:leftChars="0" w:firstLine="420" w:firstLineChars="200"/>
        <w:textAlignment w:val="auto"/>
        <w:rPr>
          <w:rFonts w:hint="eastAsia" w:cs="宋体"/>
          <w:b/>
          <w:color w:val="auto"/>
          <w:szCs w:val="21"/>
          <w:highlight w:val="none"/>
          <w:lang w:val="en-US" w:eastAsia="zh-CN" w:bidi="ar"/>
        </w:rPr>
      </w:pPr>
      <w:r>
        <w:rPr>
          <w:rFonts w:hint="eastAsia" w:ascii="宋体" w:hAnsi="宋体" w:eastAsia="宋体"/>
          <w:color w:val="auto"/>
          <w:sz w:val="21"/>
          <w:szCs w:val="21"/>
          <w:highlight w:val="none"/>
          <w:lang w:val="en-US" w:eastAsia="zh-CN"/>
        </w:rPr>
        <w:t>本条款的规定在本合同终止后继续有效。</w:t>
      </w:r>
    </w:p>
    <w:p>
      <w:pPr>
        <w:keepNext w:val="0"/>
        <w:keepLines w:val="0"/>
        <w:pageBreakBefore w:val="0"/>
        <w:kinsoku/>
        <w:wordWrap/>
        <w:overflowPunct/>
        <w:topLinePunct w:val="0"/>
        <w:autoSpaceDE/>
        <w:autoSpaceDN/>
        <w:bidi w:val="0"/>
        <w:adjustRightInd/>
        <w:spacing w:line="312" w:lineRule="auto"/>
        <w:ind w:firstLine="422" w:firstLineChars="200"/>
        <w:textAlignment w:val="auto"/>
        <w:rPr>
          <w:rFonts w:hint="eastAsia" w:cs="宋体"/>
          <w:b/>
          <w:color w:val="auto"/>
          <w:szCs w:val="21"/>
          <w:highlight w:val="none"/>
          <w:lang w:val="en-US" w:eastAsia="zh-CN" w:bidi="ar"/>
        </w:rPr>
      </w:pPr>
    </w:p>
    <w:p>
      <w:pPr>
        <w:keepNext w:val="0"/>
        <w:keepLines w:val="0"/>
        <w:pageBreakBefore w:val="0"/>
        <w:kinsoku/>
        <w:wordWrap/>
        <w:overflowPunct/>
        <w:topLinePunct w:val="0"/>
        <w:autoSpaceDE/>
        <w:autoSpaceDN/>
        <w:bidi w:val="0"/>
        <w:adjustRightInd/>
        <w:spacing w:line="312" w:lineRule="auto"/>
        <w:ind w:firstLine="422" w:firstLineChars="200"/>
        <w:textAlignment w:val="auto"/>
        <w:rPr>
          <w:rFonts w:hint="eastAsia" w:cs="宋体"/>
          <w:b/>
          <w:color w:val="auto"/>
          <w:szCs w:val="21"/>
          <w:highlight w:val="none"/>
          <w:lang w:val="en-US" w:eastAsia="zh-CN" w:bidi="ar"/>
        </w:rPr>
      </w:pPr>
      <w:r>
        <w:rPr>
          <w:rFonts w:hint="eastAsia" w:cs="宋体"/>
          <w:b/>
          <w:color w:val="auto"/>
          <w:szCs w:val="21"/>
          <w:highlight w:val="none"/>
          <w:lang w:val="en-US" w:eastAsia="zh-CN" w:bidi="ar"/>
        </w:rPr>
        <w:t>七、不可抗力</w:t>
      </w:r>
    </w:p>
    <w:p>
      <w:pPr>
        <w:pStyle w:val="22"/>
        <w:keepNext w:val="0"/>
        <w:keepLines w:val="0"/>
        <w:pageBreakBefore w:val="0"/>
        <w:widowControl/>
        <w:numPr>
          <w:ilvl w:val="0"/>
          <w:numId w:val="0"/>
        </w:numPr>
        <w:kinsoku/>
        <w:wordWrap/>
        <w:overflowPunct/>
        <w:topLinePunct w:val="0"/>
        <w:autoSpaceDE/>
        <w:autoSpaceDN/>
        <w:bidi w:val="0"/>
        <w:adjustRightInd/>
        <w:snapToGrid/>
        <w:spacing w:line="312" w:lineRule="auto"/>
        <w:ind w:left="5" w:leftChars="0" w:firstLine="420" w:firstLineChars="200"/>
        <w:textAlignment w:val="auto"/>
        <w:rPr>
          <w:rFonts w:hint="eastAsia" w:ascii="宋体" w:hAnsi="宋体" w:eastAsia="宋体"/>
          <w:color w:val="auto"/>
          <w:sz w:val="21"/>
          <w:szCs w:val="21"/>
          <w:highlight w:val="none"/>
          <w:lang w:val="en-US" w:eastAsia="zh-CN"/>
        </w:rPr>
      </w:pPr>
      <w:r>
        <w:rPr>
          <w:rFonts w:hint="eastAsia" w:ascii="宋体" w:hAnsi="宋体" w:eastAsia="宋体"/>
          <w:color w:val="auto"/>
          <w:sz w:val="21"/>
          <w:szCs w:val="21"/>
          <w:highlight w:val="none"/>
          <w:lang w:val="en-US" w:eastAsia="zh-CN"/>
        </w:rPr>
        <w:t>因台风、地震、水灾以及其它非甲、乙方责任或甲方发展阶段化目标及需求变动造成的，不可预见并且对其发生、后果不能防止或不可避免事件为不可抗力事件。</w:t>
      </w:r>
    </w:p>
    <w:p>
      <w:pPr>
        <w:pStyle w:val="22"/>
        <w:keepNext w:val="0"/>
        <w:keepLines w:val="0"/>
        <w:pageBreakBefore w:val="0"/>
        <w:widowControl/>
        <w:numPr>
          <w:ilvl w:val="0"/>
          <w:numId w:val="0"/>
        </w:numPr>
        <w:kinsoku/>
        <w:wordWrap/>
        <w:overflowPunct/>
        <w:topLinePunct w:val="0"/>
        <w:autoSpaceDE/>
        <w:autoSpaceDN/>
        <w:bidi w:val="0"/>
        <w:adjustRightInd/>
        <w:snapToGrid/>
        <w:spacing w:line="312" w:lineRule="auto"/>
        <w:ind w:left="5" w:leftChars="0" w:firstLine="420" w:firstLineChars="200"/>
        <w:textAlignment w:val="auto"/>
        <w:rPr>
          <w:rFonts w:hint="eastAsia" w:ascii="宋体" w:hAnsi="宋体" w:eastAsia="宋体"/>
          <w:color w:val="auto"/>
          <w:sz w:val="21"/>
          <w:szCs w:val="21"/>
          <w:highlight w:val="none"/>
          <w:lang w:val="en-US" w:eastAsia="zh-CN"/>
        </w:rPr>
      </w:pPr>
      <w:r>
        <w:rPr>
          <w:rFonts w:hint="eastAsia" w:ascii="宋体" w:hAnsi="宋体" w:eastAsia="宋体"/>
          <w:color w:val="auto"/>
          <w:sz w:val="21"/>
          <w:szCs w:val="21"/>
          <w:highlight w:val="none"/>
          <w:lang w:val="en-US" w:eastAsia="zh-CN"/>
        </w:rPr>
        <w:t xml:space="preserve">遇不可抗力的一方，应立即将事件情况通知对方，并在15天内提供事件详情以及合同不能履行、或部分不能履行、或需要延期履行的理由的有效证明文件。 </w:t>
      </w:r>
    </w:p>
    <w:p>
      <w:pPr>
        <w:pStyle w:val="22"/>
        <w:keepNext w:val="0"/>
        <w:keepLines w:val="0"/>
        <w:pageBreakBefore w:val="0"/>
        <w:widowControl/>
        <w:numPr>
          <w:ilvl w:val="0"/>
          <w:numId w:val="0"/>
        </w:numPr>
        <w:kinsoku/>
        <w:wordWrap/>
        <w:overflowPunct/>
        <w:topLinePunct w:val="0"/>
        <w:autoSpaceDE/>
        <w:autoSpaceDN/>
        <w:bidi w:val="0"/>
        <w:adjustRightInd/>
        <w:snapToGrid/>
        <w:spacing w:line="312" w:lineRule="auto"/>
        <w:ind w:left="5" w:leftChars="0" w:firstLine="420" w:firstLineChars="200"/>
        <w:textAlignment w:val="auto"/>
        <w:rPr>
          <w:rFonts w:hint="eastAsia" w:cs="宋体"/>
          <w:b/>
          <w:color w:val="auto"/>
          <w:szCs w:val="21"/>
          <w:highlight w:val="none"/>
          <w:lang w:val="en-US" w:eastAsia="zh-CN" w:bidi="ar"/>
        </w:rPr>
      </w:pPr>
      <w:r>
        <w:rPr>
          <w:rFonts w:hint="eastAsia" w:ascii="宋体" w:hAnsi="宋体" w:eastAsia="宋体"/>
          <w:color w:val="auto"/>
          <w:sz w:val="21"/>
          <w:szCs w:val="21"/>
          <w:highlight w:val="none"/>
          <w:lang w:val="en-US" w:eastAsia="zh-CN"/>
        </w:rPr>
        <w:t>按不可抗力事件对履行本合同的影响程度，由双方协商决定是否解除合同、部分免除履行合同的责任或延期履行合同，合同解除或者内容变更的，双方都无需向对方承担违约责任。</w:t>
      </w:r>
    </w:p>
    <w:p>
      <w:pPr>
        <w:keepNext w:val="0"/>
        <w:keepLines w:val="0"/>
        <w:pageBreakBefore w:val="0"/>
        <w:kinsoku/>
        <w:wordWrap/>
        <w:overflowPunct/>
        <w:topLinePunct w:val="0"/>
        <w:autoSpaceDE/>
        <w:autoSpaceDN/>
        <w:bidi w:val="0"/>
        <w:adjustRightInd/>
        <w:spacing w:line="312" w:lineRule="auto"/>
        <w:ind w:firstLine="422" w:firstLineChars="200"/>
        <w:textAlignment w:val="auto"/>
        <w:rPr>
          <w:rFonts w:hint="eastAsia" w:cs="宋体"/>
          <w:b/>
          <w:color w:val="auto"/>
          <w:szCs w:val="21"/>
          <w:highlight w:val="none"/>
          <w:lang w:val="en-US" w:eastAsia="zh-CN" w:bidi="ar"/>
        </w:rPr>
      </w:pPr>
    </w:p>
    <w:p>
      <w:pPr>
        <w:keepNext w:val="0"/>
        <w:keepLines w:val="0"/>
        <w:pageBreakBefore w:val="0"/>
        <w:kinsoku/>
        <w:wordWrap/>
        <w:overflowPunct/>
        <w:topLinePunct w:val="0"/>
        <w:autoSpaceDE/>
        <w:autoSpaceDN/>
        <w:bidi w:val="0"/>
        <w:adjustRightInd/>
        <w:spacing w:line="312" w:lineRule="auto"/>
        <w:ind w:firstLine="422" w:firstLineChars="200"/>
        <w:textAlignment w:val="auto"/>
        <w:rPr>
          <w:rFonts w:hint="eastAsia" w:cs="宋体"/>
          <w:b/>
          <w:color w:val="auto"/>
          <w:szCs w:val="21"/>
          <w:highlight w:val="none"/>
          <w:lang w:val="en-US" w:eastAsia="zh-CN" w:bidi="ar"/>
        </w:rPr>
      </w:pPr>
      <w:r>
        <w:rPr>
          <w:rFonts w:hint="eastAsia" w:cs="宋体"/>
          <w:b/>
          <w:color w:val="auto"/>
          <w:szCs w:val="21"/>
          <w:highlight w:val="none"/>
          <w:lang w:val="en-US" w:eastAsia="zh-CN" w:bidi="ar"/>
        </w:rPr>
        <w:t>八、争议解决</w:t>
      </w:r>
    </w:p>
    <w:p>
      <w:pPr>
        <w:keepNext w:val="0"/>
        <w:keepLines w:val="0"/>
        <w:pageBreakBefore w:val="0"/>
        <w:widowControl w:val="0"/>
        <w:kinsoku/>
        <w:wordWrap/>
        <w:overflowPunct/>
        <w:topLinePunct w:val="0"/>
        <w:autoSpaceDE/>
        <w:autoSpaceDN/>
        <w:bidi w:val="0"/>
        <w:adjustRightInd/>
        <w:snapToGrid w:val="0"/>
        <w:spacing w:line="312" w:lineRule="auto"/>
        <w:ind w:firstLine="420" w:firstLineChars="200"/>
        <w:textAlignment w:val="auto"/>
        <w:rPr>
          <w:rFonts w:hint="eastAsia" w:cs="宋体"/>
          <w:b/>
          <w:color w:val="auto"/>
          <w:szCs w:val="21"/>
          <w:highlight w:val="none"/>
          <w:lang w:val="en-US" w:eastAsia="zh-CN" w:bidi="ar"/>
        </w:rPr>
      </w:pPr>
      <w:r>
        <w:rPr>
          <w:rFonts w:hint="eastAsia" w:ascii="宋体" w:hAnsi="宋体"/>
          <w:color w:val="auto"/>
          <w:szCs w:val="21"/>
          <w:highlight w:val="none"/>
        </w:rPr>
        <w:t>本合同的内容，双方必须认真履行。在履行的过程中，发生的纠纷的，双方应当友好协商解决，协商不成的，任何一方均可向甲方所在地有管辖权的人民法院起诉。</w:t>
      </w:r>
    </w:p>
    <w:p>
      <w:pPr>
        <w:keepNext w:val="0"/>
        <w:keepLines w:val="0"/>
        <w:pageBreakBefore w:val="0"/>
        <w:kinsoku/>
        <w:wordWrap/>
        <w:overflowPunct/>
        <w:topLinePunct w:val="0"/>
        <w:autoSpaceDE/>
        <w:autoSpaceDN/>
        <w:bidi w:val="0"/>
        <w:adjustRightInd/>
        <w:spacing w:line="312" w:lineRule="auto"/>
        <w:ind w:firstLine="422" w:firstLineChars="200"/>
        <w:textAlignment w:val="auto"/>
        <w:rPr>
          <w:rFonts w:hint="eastAsia" w:cs="宋体"/>
          <w:b/>
          <w:color w:val="auto"/>
          <w:szCs w:val="21"/>
          <w:highlight w:val="none"/>
          <w:lang w:val="en-US" w:eastAsia="zh-CN" w:bidi="ar"/>
        </w:rPr>
      </w:pPr>
    </w:p>
    <w:p>
      <w:pPr>
        <w:keepNext w:val="0"/>
        <w:keepLines w:val="0"/>
        <w:pageBreakBefore w:val="0"/>
        <w:kinsoku/>
        <w:wordWrap/>
        <w:overflowPunct/>
        <w:topLinePunct w:val="0"/>
        <w:autoSpaceDE/>
        <w:autoSpaceDN/>
        <w:bidi w:val="0"/>
        <w:adjustRightInd/>
        <w:spacing w:line="312" w:lineRule="auto"/>
        <w:ind w:firstLine="422" w:firstLineChars="200"/>
        <w:textAlignment w:val="auto"/>
        <w:rPr>
          <w:rFonts w:hint="eastAsia" w:cs="宋体"/>
          <w:b/>
          <w:color w:val="auto"/>
          <w:szCs w:val="21"/>
          <w:highlight w:val="none"/>
          <w:lang w:val="en-US" w:eastAsia="zh-CN" w:bidi="ar"/>
        </w:rPr>
      </w:pPr>
      <w:r>
        <w:rPr>
          <w:rFonts w:hint="eastAsia" w:cs="宋体"/>
          <w:b/>
          <w:color w:val="auto"/>
          <w:szCs w:val="21"/>
          <w:highlight w:val="none"/>
          <w:lang w:val="en-US" w:eastAsia="zh-CN" w:bidi="ar"/>
        </w:rPr>
        <w:t>九、历史维修覆盖</w:t>
      </w:r>
    </w:p>
    <w:p>
      <w:pPr>
        <w:pStyle w:val="15"/>
        <w:keepNext w:val="0"/>
        <w:keepLines w:val="0"/>
        <w:pageBreakBefore w:val="0"/>
        <w:widowControl/>
        <w:kinsoku/>
        <w:wordWrap/>
        <w:overflowPunct/>
        <w:topLinePunct w:val="0"/>
        <w:autoSpaceDE/>
        <w:autoSpaceDN/>
        <w:bidi w:val="0"/>
        <w:adjustRightInd/>
        <w:spacing w:line="312" w:lineRule="auto"/>
        <w:ind w:firstLine="420"/>
        <w:textAlignment w:val="auto"/>
        <w:rPr>
          <w:rFonts w:hint="default" w:ascii="宋体" w:hAnsi="宋体" w:eastAsia="宋体"/>
          <w:color w:val="auto"/>
          <w:szCs w:val="21"/>
          <w:highlight w:val="none"/>
          <w:u w:val="single"/>
          <w:lang w:val="en-US" w:eastAsia="zh-CN"/>
        </w:rPr>
      </w:pPr>
      <w:r>
        <w:rPr>
          <w:rFonts w:hint="eastAsia" w:ascii="宋体" w:hAnsi="宋体"/>
          <w:color w:val="auto"/>
          <w:szCs w:val="21"/>
          <w:highlight w:val="none"/>
          <w:lang w:val="en-US" w:eastAsia="zh-CN"/>
        </w:rPr>
        <w:t>1、</w:t>
      </w:r>
      <w:r>
        <w:rPr>
          <w:rFonts w:hint="eastAsia" w:ascii="宋体" w:hAnsi="宋体"/>
          <w:color w:val="auto"/>
          <w:szCs w:val="21"/>
          <w:highlight w:val="none"/>
          <w:u w:val="single"/>
          <w:lang w:val="en-US" w:eastAsia="zh-CN"/>
        </w:rPr>
        <w:t xml:space="preserve">                              ；</w:t>
      </w:r>
    </w:p>
    <w:p>
      <w:pPr>
        <w:pStyle w:val="15"/>
        <w:keepNext w:val="0"/>
        <w:keepLines w:val="0"/>
        <w:pageBreakBefore w:val="0"/>
        <w:widowControl/>
        <w:kinsoku/>
        <w:wordWrap/>
        <w:overflowPunct/>
        <w:topLinePunct w:val="0"/>
        <w:autoSpaceDE/>
        <w:autoSpaceDN/>
        <w:bidi w:val="0"/>
        <w:adjustRightInd/>
        <w:spacing w:line="312" w:lineRule="auto"/>
        <w:ind w:firstLine="420" w:firstLineChars="200"/>
        <w:textAlignment w:val="auto"/>
        <w:rPr>
          <w:rFonts w:hint="default" w:ascii="宋体" w:hAnsi="宋体" w:eastAsia="宋体"/>
          <w:color w:val="auto"/>
          <w:szCs w:val="21"/>
          <w:highlight w:val="none"/>
          <w:u w:val="single"/>
          <w:lang w:val="en-US" w:eastAsia="zh-CN"/>
        </w:rPr>
      </w:pPr>
      <w:r>
        <w:rPr>
          <w:rFonts w:hint="eastAsia" w:ascii="宋体" w:hAnsi="宋体" w:eastAsia="宋体"/>
          <w:color w:val="auto"/>
          <w:szCs w:val="21"/>
          <w:highlight w:val="none"/>
          <w:u w:val="none"/>
          <w:lang w:val="en-US" w:eastAsia="zh-CN"/>
        </w:rPr>
        <w:t>2、</w:t>
      </w:r>
      <w:r>
        <w:rPr>
          <w:rFonts w:hint="eastAsia" w:ascii="宋体" w:hAnsi="宋体" w:eastAsia="宋体"/>
          <w:color w:val="auto"/>
          <w:szCs w:val="21"/>
          <w:highlight w:val="none"/>
          <w:u w:val="single"/>
          <w:lang w:val="en-US" w:eastAsia="zh-CN"/>
        </w:rPr>
        <w:t xml:space="preserve">                              ；</w:t>
      </w:r>
    </w:p>
    <w:p>
      <w:pPr>
        <w:keepNext w:val="0"/>
        <w:keepLines w:val="0"/>
        <w:pageBreakBefore w:val="0"/>
        <w:kinsoku/>
        <w:wordWrap/>
        <w:overflowPunct/>
        <w:topLinePunct w:val="0"/>
        <w:autoSpaceDE/>
        <w:autoSpaceDN/>
        <w:bidi w:val="0"/>
        <w:adjustRightInd/>
        <w:spacing w:line="312" w:lineRule="auto"/>
        <w:ind w:firstLine="422" w:firstLineChars="200"/>
        <w:textAlignment w:val="auto"/>
        <w:rPr>
          <w:rFonts w:hint="eastAsia" w:cs="宋体"/>
          <w:b/>
          <w:color w:val="auto"/>
          <w:szCs w:val="21"/>
          <w:highlight w:val="none"/>
          <w:lang w:val="en-US" w:eastAsia="zh-CN" w:bidi="ar"/>
        </w:rPr>
      </w:pPr>
    </w:p>
    <w:p>
      <w:pPr>
        <w:keepNext w:val="0"/>
        <w:keepLines w:val="0"/>
        <w:pageBreakBefore w:val="0"/>
        <w:kinsoku/>
        <w:wordWrap/>
        <w:overflowPunct/>
        <w:topLinePunct w:val="0"/>
        <w:autoSpaceDE/>
        <w:autoSpaceDN/>
        <w:bidi w:val="0"/>
        <w:adjustRightInd/>
        <w:spacing w:line="312" w:lineRule="auto"/>
        <w:ind w:firstLine="422" w:firstLineChars="200"/>
        <w:textAlignment w:val="auto"/>
        <w:rPr>
          <w:rFonts w:hint="eastAsia" w:cs="宋体"/>
          <w:b/>
          <w:color w:val="auto"/>
          <w:szCs w:val="21"/>
          <w:highlight w:val="none"/>
          <w:lang w:val="en-US" w:eastAsia="zh-CN" w:bidi="ar"/>
        </w:rPr>
      </w:pPr>
      <w:r>
        <w:rPr>
          <w:rFonts w:hint="eastAsia" w:cs="宋体"/>
          <w:b/>
          <w:color w:val="auto"/>
          <w:szCs w:val="21"/>
          <w:highlight w:val="none"/>
          <w:lang w:val="en-US" w:eastAsia="zh-CN" w:bidi="ar"/>
        </w:rPr>
        <w:t>十、其他</w:t>
      </w:r>
    </w:p>
    <w:p>
      <w:pPr>
        <w:pStyle w:val="22"/>
        <w:keepNext w:val="0"/>
        <w:keepLines w:val="0"/>
        <w:pageBreakBefore w:val="0"/>
        <w:widowControl/>
        <w:numPr>
          <w:ilvl w:val="0"/>
          <w:numId w:val="0"/>
        </w:numPr>
        <w:kinsoku/>
        <w:wordWrap/>
        <w:overflowPunct/>
        <w:topLinePunct w:val="0"/>
        <w:autoSpaceDE/>
        <w:autoSpaceDN/>
        <w:bidi w:val="0"/>
        <w:adjustRightInd/>
        <w:snapToGrid/>
        <w:spacing w:line="312" w:lineRule="auto"/>
        <w:ind w:left="5" w:leftChars="0" w:firstLine="420" w:firstLineChars="200"/>
        <w:textAlignment w:val="auto"/>
        <w:rPr>
          <w:rFonts w:hint="eastAsia" w:ascii="宋体" w:hAnsi="宋体" w:eastAsia="宋体"/>
          <w:color w:val="auto"/>
          <w:sz w:val="21"/>
          <w:szCs w:val="21"/>
          <w:highlight w:val="none"/>
          <w:lang w:val="en-US" w:eastAsia="zh-CN"/>
        </w:rPr>
      </w:pPr>
      <w:r>
        <w:rPr>
          <w:rFonts w:hint="eastAsia" w:ascii="宋体" w:hAnsi="宋体" w:eastAsia="宋体"/>
          <w:color w:val="auto"/>
          <w:sz w:val="21"/>
          <w:szCs w:val="21"/>
          <w:highlight w:val="none"/>
          <w:lang w:val="en-US" w:eastAsia="zh-CN"/>
        </w:rPr>
        <w:t>（一）合同未尽事宜由双方另行协商解决。其他有关补充文件作为合同附件，所有附件需加盖甲乙双方公章或合同章。</w:t>
      </w:r>
    </w:p>
    <w:p>
      <w:pPr>
        <w:pStyle w:val="22"/>
        <w:keepNext w:val="0"/>
        <w:keepLines w:val="0"/>
        <w:pageBreakBefore w:val="0"/>
        <w:widowControl/>
        <w:numPr>
          <w:ilvl w:val="0"/>
          <w:numId w:val="0"/>
        </w:numPr>
        <w:kinsoku/>
        <w:wordWrap/>
        <w:overflowPunct/>
        <w:topLinePunct w:val="0"/>
        <w:autoSpaceDE/>
        <w:autoSpaceDN/>
        <w:bidi w:val="0"/>
        <w:adjustRightInd/>
        <w:snapToGrid/>
        <w:spacing w:line="312" w:lineRule="auto"/>
        <w:ind w:left="5" w:leftChars="0" w:firstLine="420" w:firstLineChars="200"/>
        <w:textAlignment w:val="auto"/>
        <w:rPr>
          <w:rFonts w:hint="eastAsia" w:ascii="宋体" w:hAnsi="宋体" w:eastAsia="宋体"/>
          <w:color w:val="auto"/>
          <w:sz w:val="21"/>
          <w:szCs w:val="21"/>
          <w:highlight w:val="none"/>
          <w:lang w:val="en-US" w:eastAsia="zh-CN"/>
        </w:rPr>
      </w:pPr>
      <w:r>
        <w:rPr>
          <w:rFonts w:hint="eastAsia" w:ascii="宋体" w:hAnsi="宋体" w:eastAsia="宋体"/>
          <w:color w:val="auto"/>
          <w:sz w:val="21"/>
          <w:szCs w:val="21"/>
          <w:highlight w:val="none"/>
          <w:lang w:val="en-US" w:eastAsia="zh-CN"/>
        </w:rPr>
        <w:t>（二）合同由乙方完成签字盖章后，提交甲方签字盖章，自双方代表均签字盖章完成之日起生效。</w:t>
      </w:r>
    </w:p>
    <w:p>
      <w:pPr>
        <w:pStyle w:val="22"/>
        <w:keepNext w:val="0"/>
        <w:keepLines w:val="0"/>
        <w:pageBreakBefore w:val="0"/>
        <w:widowControl/>
        <w:numPr>
          <w:ilvl w:val="0"/>
          <w:numId w:val="0"/>
        </w:numPr>
        <w:kinsoku/>
        <w:wordWrap/>
        <w:overflowPunct/>
        <w:topLinePunct w:val="0"/>
        <w:autoSpaceDE/>
        <w:autoSpaceDN/>
        <w:bidi w:val="0"/>
        <w:adjustRightInd/>
        <w:snapToGrid/>
        <w:spacing w:line="312" w:lineRule="auto"/>
        <w:ind w:left="5" w:leftChars="0" w:firstLine="420" w:firstLineChars="200"/>
        <w:textAlignment w:val="auto"/>
        <w:rPr>
          <w:rFonts w:hint="eastAsia" w:ascii="宋体" w:hAnsi="宋体" w:eastAsia="宋体"/>
          <w:color w:val="auto"/>
          <w:sz w:val="21"/>
          <w:szCs w:val="21"/>
          <w:highlight w:val="none"/>
          <w:lang w:val="en-US" w:eastAsia="zh-CN"/>
        </w:rPr>
      </w:pPr>
      <w:r>
        <w:rPr>
          <w:rFonts w:hint="eastAsia" w:ascii="宋体" w:hAnsi="宋体" w:eastAsia="宋体"/>
          <w:color w:val="auto"/>
          <w:sz w:val="21"/>
          <w:szCs w:val="21"/>
          <w:highlight w:val="none"/>
          <w:lang w:val="en-US" w:eastAsia="zh-CN"/>
        </w:rPr>
        <w:t>（三）合同一式肆份，甲方执叁份，乙方执壹份，具有同等法律效力。</w:t>
      </w:r>
    </w:p>
    <w:p>
      <w:pPr>
        <w:pStyle w:val="22"/>
        <w:keepNext w:val="0"/>
        <w:keepLines w:val="0"/>
        <w:pageBreakBefore w:val="0"/>
        <w:widowControl/>
        <w:numPr>
          <w:ilvl w:val="0"/>
          <w:numId w:val="0"/>
        </w:numPr>
        <w:kinsoku/>
        <w:wordWrap/>
        <w:overflowPunct/>
        <w:topLinePunct w:val="0"/>
        <w:autoSpaceDE/>
        <w:autoSpaceDN/>
        <w:bidi w:val="0"/>
        <w:adjustRightInd/>
        <w:snapToGrid/>
        <w:spacing w:line="312" w:lineRule="auto"/>
        <w:ind w:left="5" w:leftChars="0" w:firstLine="420" w:firstLineChars="200"/>
        <w:textAlignment w:val="auto"/>
        <w:rPr>
          <w:rFonts w:hint="eastAsia" w:ascii="宋体" w:hAnsi="宋体" w:eastAsia="宋体"/>
          <w:color w:val="auto"/>
          <w:sz w:val="21"/>
          <w:szCs w:val="21"/>
          <w:highlight w:val="none"/>
          <w:lang w:val="en-US" w:eastAsia="zh-CN"/>
        </w:rPr>
      </w:pPr>
      <w:r>
        <w:rPr>
          <w:rFonts w:hint="eastAsia" w:ascii="宋体" w:hAnsi="宋体" w:eastAsia="宋体"/>
          <w:color w:val="auto"/>
          <w:sz w:val="21"/>
          <w:szCs w:val="21"/>
          <w:highlight w:val="none"/>
          <w:lang w:val="en-US" w:eastAsia="zh-CN"/>
        </w:rPr>
        <w:t>（四） 如因乙方操作导致数据泄露产生的全部损失（包括甲方的直接损失、间接损失为此支付的律师费、诉讼费等），由乙方承担。</w:t>
      </w:r>
    </w:p>
    <w:p>
      <w:pPr>
        <w:pStyle w:val="22"/>
        <w:keepNext w:val="0"/>
        <w:keepLines w:val="0"/>
        <w:pageBreakBefore w:val="0"/>
        <w:widowControl/>
        <w:numPr>
          <w:ilvl w:val="0"/>
          <w:numId w:val="0"/>
        </w:numPr>
        <w:kinsoku/>
        <w:wordWrap/>
        <w:overflowPunct/>
        <w:topLinePunct w:val="0"/>
        <w:autoSpaceDE/>
        <w:autoSpaceDN/>
        <w:bidi w:val="0"/>
        <w:adjustRightInd/>
        <w:snapToGrid/>
        <w:spacing w:line="312" w:lineRule="auto"/>
        <w:ind w:left="5" w:leftChars="0" w:firstLine="420" w:firstLineChars="200"/>
        <w:textAlignment w:val="auto"/>
        <w:rPr>
          <w:rFonts w:hint="eastAsia" w:ascii="宋体" w:hAnsi="宋体" w:eastAsia="宋体"/>
          <w:color w:val="auto"/>
          <w:sz w:val="21"/>
          <w:szCs w:val="21"/>
          <w:highlight w:val="none"/>
          <w:lang w:val="en-US" w:eastAsia="zh-CN"/>
        </w:rPr>
      </w:pPr>
      <w:r>
        <w:rPr>
          <w:rFonts w:hint="eastAsia" w:ascii="宋体" w:hAnsi="宋体" w:eastAsia="宋体"/>
          <w:color w:val="auto"/>
          <w:sz w:val="21"/>
          <w:szCs w:val="21"/>
          <w:highlight w:val="none"/>
          <w:lang w:val="en-US" w:eastAsia="zh-CN"/>
        </w:rPr>
        <w:t>（五）组成合同的文件及优先解释（如需要）顺序</w:t>
      </w:r>
    </w:p>
    <w:p>
      <w:pPr>
        <w:pStyle w:val="22"/>
        <w:keepNext w:val="0"/>
        <w:keepLines w:val="0"/>
        <w:pageBreakBefore w:val="0"/>
        <w:widowControl/>
        <w:numPr>
          <w:ilvl w:val="0"/>
          <w:numId w:val="0"/>
        </w:numPr>
        <w:kinsoku/>
        <w:wordWrap/>
        <w:overflowPunct/>
        <w:topLinePunct w:val="0"/>
        <w:autoSpaceDE/>
        <w:autoSpaceDN/>
        <w:bidi w:val="0"/>
        <w:adjustRightInd/>
        <w:snapToGrid/>
        <w:spacing w:line="312" w:lineRule="auto"/>
        <w:ind w:left="5" w:leftChars="0" w:firstLine="420" w:firstLineChars="200"/>
        <w:textAlignment w:val="auto"/>
        <w:rPr>
          <w:rFonts w:hint="eastAsia" w:ascii="宋体" w:hAnsi="宋体" w:eastAsia="宋体"/>
          <w:color w:val="auto"/>
          <w:sz w:val="21"/>
          <w:szCs w:val="21"/>
          <w:highlight w:val="none"/>
          <w:lang w:val="en-US" w:eastAsia="zh-CN"/>
        </w:rPr>
      </w:pPr>
      <w:r>
        <w:rPr>
          <w:rFonts w:hint="eastAsia" w:ascii="宋体" w:hAnsi="宋体" w:eastAsia="宋体"/>
          <w:color w:val="auto"/>
          <w:sz w:val="21"/>
          <w:szCs w:val="21"/>
          <w:highlight w:val="none"/>
          <w:lang w:val="en-US" w:eastAsia="zh-CN"/>
        </w:rPr>
        <w:t>（1）本合同文本</w:t>
      </w:r>
    </w:p>
    <w:p>
      <w:pPr>
        <w:pStyle w:val="22"/>
        <w:keepNext w:val="0"/>
        <w:keepLines w:val="0"/>
        <w:pageBreakBefore w:val="0"/>
        <w:widowControl/>
        <w:numPr>
          <w:ilvl w:val="0"/>
          <w:numId w:val="0"/>
        </w:numPr>
        <w:kinsoku/>
        <w:wordWrap/>
        <w:overflowPunct/>
        <w:topLinePunct w:val="0"/>
        <w:autoSpaceDE/>
        <w:autoSpaceDN/>
        <w:bidi w:val="0"/>
        <w:adjustRightInd/>
        <w:snapToGrid/>
        <w:spacing w:line="312" w:lineRule="auto"/>
        <w:ind w:left="5" w:leftChars="0" w:firstLine="420" w:firstLineChars="200"/>
        <w:textAlignment w:val="auto"/>
        <w:rPr>
          <w:rFonts w:hint="eastAsia" w:ascii="宋体" w:hAnsi="宋体" w:eastAsia="宋体"/>
          <w:color w:val="auto"/>
          <w:sz w:val="21"/>
          <w:szCs w:val="21"/>
          <w:highlight w:val="none"/>
          <w:lang w:val="en-US" w:eastAsia="zh-CN"/>
        </w:rPr>
      </w:pPr>
      <w:r>
        <w:rPr>
          <w:rFonts w:hint="eastAsia" w:ascii="宋体" w:hAnsi="宋体" w:eastAsia="宋体"/>
          <w:color w:val="auto"/>
          <w:sz w:val="21"/>
          <w:szCs w:val="21"/>
          <w:highlight w:val="none"/>
          <w:lang w:val="en-US" w:eastAsia="zh-CN"/>
        </w:rPr>
        <w:t>（2）中标通知书（或成交通知书、入围通知书等）</w:t>
      </w:r>
    </w:p>
    <w:p>
      <w:pPr>
        <w:pStyle w:val="22"/>
        <w:keepNext w:val="0"/>
        <w:keepLines w:val="0"/>
        <w:pageBreakBefore w:val="0"/>
        <w:widowControl/>
        <w:numPr>
          <w:ilvl w:val="0"/>
          <w:numId w:val="0"/>
        </w:numPr>
        <w:kinsoku/>
        <w:wordWrap/>
        <w:overflowPunct/>
        <w:topLinePunct w:val="0"/>
        <w:autoSpaceDE/>
        <w:autoSpaceDN/>
        <w:bidi w:val="0"/>
        <w:adjustRightInd/>
        <w:snapToGrid/>
        <w:spacing w:line="312" w:lineRule="auto"/>
        <w:ind w:left="5" w:leftChars="0" w:firstLine="420" w:firstLineChars="200"/>
        <w:textAlignment w:val="auto"/>
        <w:rPr>
          <w:rFonts w:hint="eastAsia" w:ascii="宋体" w:hAnsi="宋体" w:eastAsia="宋体"/>
          <w:color w:val="auto"/>
          <w:sz w:val="21"/>
          <w:szCs w:val="21"/>
          <w:highlight w:val="none"/>
          <w:lang w:val="en-US" w:eastAsia="zh-CN"/>
        </w:rPr>
      </w:pPr>
      <w:r>
        <w:rPr>
          <w:rFonts w:hint="eastAsia" w:ascii="宋体" w:hAnsi="宋体" w:eastAsia="宋体"/>
          <w:color w:val="auto"/>
          <w:sz w:val="21"/>
          <w:szCs w:val="21"/>
          <w:highlight w:val="none"/>
          <w:lang w:val="en-US" w:eastAsia="zh-CN"/>
        </w:rPr>
        <w:t>（3）《招标文件》（或《比选文件》等）及答疑文件</w:t>
      </w:r>
    </w:p>
    <w:p>
      <w:pPr>
        <w:pStyle w:val="22"/>
        <w:keepNext w:val="0"/>
        <w:keepLines w:val="0"/>
        <w:pageBreakBefore w:val="0"/>
        <w:widowControl/>
        <w:numPr>
          <w:ilvl w:val="0"/>
          <w:numId w:val="0"/>
        </w:numPr>
        <w:kinsoku/>
        <w:wordWrap/>
        <w:overflowPunct/>
        <w:topLinePunct w:val="0"/>
        <w:autoSpaceDE/>
        <w:autoSpaceDN/>
        <w:bidi w:val="0"/>
        <w:adjustRightInd/>
        <w:snapToGrid/>
        <w:spacing w:line="312" w:lineRule="auto"/>
        <w:ind w:left="5" w:leftChars="0" w:firstLine="420" w:firstLineChars="200"/>
        <w:textAlignment w:val="auto"/>
        <w:rPr>
          <w:rFonts w:hint="eastAsia" w:ascii="宋体" w:hAnsi="宋体" w:eastAsia="宋体"/>
          <w:color w:val="auto"/>
          <w:sz w:val="21"/>
          <w:szCs w:val="21"/>
          <w:highlight w:val="none"/>
          <w:lang w:val="en-US" w:eastAsia="zh-CN"/>
        </w:rPr>
      </w:pPr>
      <w:r>
        <w:rPr>
          <w:rFonts w:hint="eastAsia" w:ascii="宋体" w:hAnsi="宋体" w:eastAsia="宋体"/>
          <w:color w:val="auto"/>
          <w:sz w:val="21"/>
          <w:szCs w:val="21"/>
          <w:highlight w:val="none"/>
          <w:lang w:val="en-US" w:eastAsia="zh-CN"/>
        </w:rPr>
        <w:t>（4）乙方的投标（或响应）文件及关于投标（或响应）文件的澄清、承诺。</w:t>
      </w:r>
    </w:p>
    <w:p>
      <w:pPr>
        <w:pStyle w:val="22"/>
        <w:keepNext w:val="0"/>
        <w:keepLines w:val="0"/>
        <w:pageBreakBefore w:val="0"/>
        <w:widowControl/>
        <w:numPr>
          <w:ilvl w:val="0"/>
          <w:numId w:val="0"/>
        </w:numPr>
        <w:kinsoku/>
        <w:wordWrap/>
        <w:overflowPunct/>
        <w:topLinePunct w:val="0"/>
        <w:autoSpaceDE/>
        <w:autoSpaceDN/>
        <w:bidi w:val="0"/>
        <w:adjustRightInd/>
        <w:snapToGrid/>
        <w:spacing w:line="312" w:lineRule="auto"/>
        <w:ind w:left="5" w:leftChars="0" w:firstLine="420" w:firstLineChars="200"/>
        <w:textAlignment w:val="auto"/>
        <w:rPr>
          <w:rFonts w:hint="eastAsia" w:ascii="宋体" w:hAnsi="宋体" w:eastAsia="宋体"/>
          <w:color w:val="auto"/>
          <w:sz w:val="21"/>
          <w:szCs w:val="21"/>
          <w:highlight w:val="none"/>
          <w:lang w:val="en-US" w:eastAsia="zh-CN"/>
        </w:rPr>
      </w:pPr>
      <w:r>
        <w:rPr>
          <w:rFonts w:hint="eastAsia" w:ascii="宋体" w:hAnsi="宋体" w:eastAsia="宋体"/>
          <w:color w:val="auto"/>
          <w:sz w:val="21"/>
          <w:szCs w:val="21"/>
          <w:highlight w:val="none"/>
          <w:lang w:val="en-US" w:eastAsia="zh-CN"/>
        </w:rPr>
        <w:t>乙方提供的服务或产品未达到上述文件中规定或承诺内容的，甲方有权解除合同并要求乙方赔偿相关损失。</w:t>
      </w:r>
    </w:p>
    <w:p>
      <w:pPr>
        <w:widowControl/>
        <w:spacing w:line="360" w:lineRule="auto"/>
        <w:jc w:val="center"/>
        <w:rPr>
          <w:rFonts w:ascii="宋体" w:hAnsi="宋体" w:eastAsia="宋体"/>
          <w:color w:val="auto"/>
          <w:szCs w:val="21"/>
          <w:highlight w:val="none"/>
        </w:rPr>
      </w:pPr>
    </w:p>
    <w:p>
      <w:pPr>
        <w:pStyle w:val="13"/>
        <w:rPr>
          <w:color w:val="auto"/>
          <w:highlight w:val="none"/>
        </w:rPr>
      </w:pPr>
    </w:p>
    <w:p>
      <w:pPr>
        <w:pStyle w:val="13"/>
        <w:rPr>
          <w:rFonts w:ascii="宋体" w:hAnsi="宋体" w:eastAsia="宋体"/>
          <w:color w:val="auto"/>
          <w:szCs w:val="21"/>
          <w:highlight w:val="none"/>
        </w:rPr>
      </w:pPr>
    </w:p>
    <w:p>
      <w:pPr>
        <w:keepNext w:val="0"/>
        <w:keepLines w:val="0"/>
        <w:pageBreakBefore w:val="0"/>
        <w:widowControl w:val="0"/>
        <w:kinsoku/>
        <w:wordWrap/>
        <w:overflowPunct/>
        <w:topLinePunct w:val="0"/>
        <w:autoSpaceDE/>
        <w:autoSpaceDN/>
        <w:bidi w:val="0"/>
        <w:adjustRightInd/>
        <w:snapToGrid w:val="0"/>
        <w:spacing w:line="340" w:lineRule="exact"/>
        <w:ind w:firstLine="480"/>
        <w:textAlignment w:val="auto"/>
        <w:rPr>
          <w:rFonts w:hint="eastAsia" w:ascii="宋体" w:hAnsi="宋体"/>
          <w:color w:val="auto"/>
          <w:szCs w:val="21"/>
          <w:highlight w:val="none"/>
        </w:rPr>
      </w:pPr>
      <w:r>
        <w:rPr>
          <w:rFonts w:hint="eastAsia" w:ascii="宋体" w:hAnsi="宋体"/>
          <w:color w:val="auto"/>
          <w:szCs w:val="21"/>
          <w:highlight w:val="none"/>
        </w:rPr>
        <w:t>甲方（盖章）：                                乙方（盖章）：</w:t>
      </w:r>
    </w:p>
    <w:p>
      <w:pPr>
        <w:keepNext w:val="0"/>
        <w:keepLines w:val="0"/>
        <w:pageBreakBefore w:val="0"/>
        <w:widowControl w:val="0"/>
        <w:kinsoku/>
        <w:wordWrap/>
        <w:overflowPunct/>
        <w:topLinePunct w:val="0"/>
        <w:autoSpaceDE/>
        <w:autoSpaceDN/>
        <w:bidi w:val="0"/>
        <w:adjustRightInd/>
        <w:spacing w:line="340" w:lineRule="exact"/>
        <w:textAlignment w:val="auto"/>
        <w:rPr>
          <w:rFonts w:hint="eastAsia" w:ascii="宋体" w:hAnsi="宋体"/>
          <w:color w:val="auto"/>
          <w:szCs w:val="21"/>
          <w:highlight w:val="none"/>
        </w:rPr>
      </w:pPr>
    </w:p>
    <w:p>
      <w:pPr>
        <w:keepNext w:val="0"/>
        <w:keepLines w:val="0"/>
        <w:pageBreakBefore w:val="0"/>
        <w:widowControl w:val="0"/>
        <w:kinsoku/>
        <w:wordWrap/>
        <w:overflowPunct/>
        <w:topLinePunct w:val="0"/>
        <w:autoSpaceDE/>
        <w:autoSpaceDN/>
        <w:bidi w:val="0"/>
        <w:adjustRightInd/>
        <w:spacing w:line="340" w:lineRule="exact"/>
        <w:textAlignment w:val="auto"/>
        <w:rPr>
          <w:rFonts w:hint="eastAsia" w:ascii="宋体" w:hAnsi="宋体"/>
          <w:color w:val="auto"/>
          <w:szCs w:val="21"/>
          <w:highlight w:val="none"/>
        </w:rPr>
      </w:pPr>
    </w:p>
    <w:p>
      <w:pPr>
        <w:keepNext w:val="0"/>
        <w:keepLines w:val="0"/>
        <w:pageBreakBefore w:val="0"/>
        <w:widowControl w:val="0"/>
        <w:kinsoku/>
        <w:wordWrap/>
        <w:overflowPunct/>
        <w:topLinePunct w:val="0"/>
        <w:autoSpaceDE/>
        <w:autoSpaceDN/>
        <w:bidi w:val="0"/>
        <w:adjustRightInd/>
        <w:spacing w:line="340" w:lineRule="exact"/>
        <w:textAlignment w:val="auto"/>
        <w:rPr>
          <w:rFonts w:hint="eastAsia" w:ascii="宋体" w:hAnsi="宋体"/>
          <w:color w:val="auto"/>
          <w:szCs w:val="21"/>
          <w:highlight w:val="none"/>
        </w:rPr>
      </w:pPr>
      <w:r>
        <w:rPr>
          <w:rFonts w:hint="eastAsia" w:ascii="宋体" w:hAnsi="宋体"/>
          <w:color w:val="auto"/>
          <w:szCs w:val="21"/>
          <w:highlight w:val="none"/>
        </w:rPr>
        <w:t>代表（签字）：</w:t>
      </w:r>
      <w:r>
        <w:rPr>
          <w:rFonts w:hint="eastAsia" w:ascii="宋体" w:hAnsi="宋体"/>
          <w:color w:val="auto"/>
          <w:szCs w:val="21"/>
          <w:highlight w:val="none"/>
          <w:lang w:val="en-US" w:eastAsia="zh-CN"/>
        </w:rPr>
        <w:t xml:space="preserve">                                         </w:t>
      </w:r>
      <w:r>
        <w:rPr>
          <w:rFonts w:hint="eastAsia" w:ascii="宋体" w:hAnsi="宋体"/>
          <w:color w:val="auto"/>
          <w:szCs w:val="21"/>
          <w:highlight w:val="none"/>
        </w:rPr>
        <w:t xml:space="preserve"> 代表（签字）：</w:t>
      </w:r>
    </w:p>
    <w:p>
      <w:pPr>
        <w:keepNext w:val="0"/>
        <w:keepLines w:val="0"/>
        <w:pageBreakBefore w:val="0"/>
        <w:widowControl w:val="0"/>
        <w:kinsoku/>
        <w:wordWrap/>
        <w:overflowPunct/>
        <w:topLinePunct w:val="0"/>
        <w:autoSpaceDE/>
        <w:autoSpaceDN/>
        <w:bidi w:val="0"/>
        <w:adjustRightInd/>
        <w:spacing w:line="340" w:lineRule="exact"/>
        <w:textAlignment w:val="auto"/>
        <w:rPr>
          <w:rFonts w:hint="eastAsia" w:ascii="宋体" w:hAnsi="宋体"/>
          <w:color w:val="auto"/>
          <w:szCs w:val="21"/>
          <w:highlight w:val="none"/>
        </w:rPr>
      </w:pPr>
      <w:r>
        <w:rPr>
          <w:rFonts w:hint="eastAsia" w:ascii="宋体" w:hAnsi="宋体"/>
          <w:color w:val="auto"/>
          <w:szCs w:val="21"/>
          <w:highlight w:val="none"/>
        </w:rPr>
        <w:t xml:space="preserve">                                   </w:t>
      </w:r>
    </w:p>
    <w:p>
      <w:pPr>
        <w:keepNext w:val="0"/>
        <w:keepLines w:val="0"/>
        <w:pageBreakBefore w:val="0"/>
        <w:widowControl w:val="0"/>
        <w:kinsoku/>
        <w:wordWrap/>
        <w:overflowPunct/>
        <w:topLinePunct w:val="0"/>
        <w:autoSpaceDE/>
        <w:autoSpaceDN/>
        <w:bidi w:val="0"/>
        <w:adjustRightInd/>
        <w:spacing w:line="340" w:lineRule="exact"/>
        <w:ind w:firstLine="630" w:firstLineChars="300"/>
        <w:textAlignment w:val="auto"/>
        <w:rPr>
          <w:rFonts w:hint="eastAsia" w:ascii="宋体" w:hAnsi="宋体"/>
          <w:color w:val="auto"/>
          <w:szCs w:val="21"/>
          <w:highlight w:val="none"/>
        </w:rPr>
      </w:pPr>
    </w:p>
    <w:p>
      <w:pPr>
        <w:keepNext w:val="0"/>
        <w:keepLines w:val="0"/>
        <w:pageBreakBefore w:val="0"/>
        <w:widowControl w:val="0"/>
        <w:kinsoku/>
        <w:wordWrap/>
        <w:overflowPunct/>
        <w:topLinePunct w:val="0"/>
        <w:autoSpaceDE/>
        <w:autoSpaceDN/>
        <w:bidi w:val="0"/>
        <w:adjustRightInd/>
        <w:spacing w:line="340" w:lineRule="exact"/>
        <w:ind w:firstLine="630" w:firstLineChars="300"/>
        <w:textAlignment w:val="auto"/>
        <w:rPr>
          <w:rFonts w:hint="eastAsia" w:ascii="宋体" w:hAnsi="宋体"/>
          <w:color w:val="auto"/>
          <w:szCs w:val="21"/>
          <w:highlight w:val="none"/>
        </w:rPr>
      </w:pPr>
      <w:r>
        <w:rPr>
          <w:rFonts w:hint="eastAsia" w:ascii="宋体" w:hAnsi="宋体"/>
          <w:color w:val="auto"/>
          <w:szCs w:val="21"/>
          <w:highlight w:val="none"/>
        </w:rPr>
        <w:t>年     月    日                              年   月   日</w:t>
      </w:r>
    </w:p>
    <w:p>
      <w:pPr>
        <w:keepNext w:val="0"/>
        <w:keepLines w:val="0"/>
        <w:pageBreakBefore w:val="0"/>
        <w:widowControl w:val="0"/>
        <w:kinsoku/>
        <w:wordWrap/>
        <w:overflowPunct/>
        <w:topLinePunct w:val="0"/>
        <w:autoSpaceDE/>
        <w:autoSpaceDN/>
        <w:bidi w:val="0"/>
        <w:adjustRightInd/>
        <w:spacing w:line="340" w:lineRule="exact"/>
        <w:ind w:firstLine="4620" w:firstLineChars="2200"/>
        <w:textAlignment w:val="auto"/>
        <w:rPr>
          <w:rFonts w:hint="eastAsia" w:ascii="宋体" w:hAnsi="宋体"/>
          <w:color w:val="auto"/>
          <w:szCs w:val="21"/>
          <w:highlight w:val="none"/>
        </w:rPr>
      </w:pPr>
    </w:p>
    <w:p>
      <w:pPr>
        <w:keepNext w:val="0"/>
        <w:keepLines w:val="0"/>
        <w:pageBreakBefore w:val="0"/>
        <w:widowControl w:val="0"/>
        <w:kinsoku/>
        <w:wordWrap/>
        <w:overflowPunct/>
        <w:topLinePunct w:val="0"/>
        <w:autoSpaceDE/>
        <w:autoSpaceDN/>
        <w:bidi w:val="0"/>
        <w:adjustRightInd/>
        <w:spacing w:line="340" w:lineRule="exact"/>
        <w:ind w:firstLine="4620" w:firstLineChars="2200"/>
        <w:textAlignment w:val="auto"/>
        <w:rPr>
          <w:rFonts w:hint="eastAsia" w:ascii="宋体" w:hAnsi="宋体"/>
          <w:color w:val="auto"/>
          <w:szCs w:val="21"/>
          <w:highlight w:val="none"/>
        </w:rPr>
      </w:pPr>
      <w:r>
        <w:rPr>
          <w:rFonts w:hint="eastAsia" w:ascii="宋体" w:hAnsi="宋体"/>
          <w:color w:val="auto"/>
          <w:szCs w:val="21"/>
          <w:highlight w:val="none"/>
        </w:rPr>
        <w:t>公司联系电话：          联系人手机：</w:t>
      </w:r>
    </w:p>
    <w:p>
      <w:pPr>
        <w:pStyle w:val="13"/>
        <w:rPr>
          <w:rFonts w:ascii="宋体" w:hAnsi="宋体" w:eastAsia="宋体"/>
          <w:color w:val="auto"/>
          <w:szCs w:val="21"/>
          <w:highlight w:val="none"/>
        </w:rPr>
      </w:pPr>
    </w:p>
    <w:p>
      <w:pPr>
        <w:widowControl/>
        <w:spacing w:line="360" w:lineRule="auto"/>
        <w:jc w:val="left"/>
        <w:rPr>
          <w:rFonts w:ascii="宋体" w:hAnsi="宋体" w:eastAsia="宋体"/>
          <w:color w:val="auto"/>
          <w:sz w:val="16"/>
          <w:szCs w:val="16"/>
          <w:highlight w:val="none"/>
        </w:rPr>
      </w:pPr>
    </w:p>
    <w:sectPr>
      <w:headerReference r:id="rId3" w:type="default"/>
      <w:footerReference r:id="rId4" w:type="default"/>
      <w:pgSz w:w="11906" w:h="16838"/>
      <w:pgMar w:top="720" w:right="1274" w:bottom="993" w:left="1134" w:header="567"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楷体_GB2312">
    <w:panose1 w:val="02010609030101010101"/>
    <w:charset w:val="86"/>
    <w:family w:val="modern"/>
    <w:pitch w:val="default"/>
    <w:sig w:usb0="00000001" w:usb1="080E0000" w:usb2="00000000" w:usb3="00000000" w:csb0="00040000" w:csb1="00000000"/>
  </w:font>
  <w:font w:name="华文行楷">
    <w:panose1 w:val="02010800040101010101"/>
    <w:charset w:val="86"/>
    <w:family w:val="auto"/>
    <w:pitch w:val="default"/>
    <w:sig w:usb0="00000001" w:usb1="080F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pPr>
                      <w:pStyle w:val="6"/>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v:textbox>
            </v:shape>
          </w:pict>
        </mc:Fallback>
      </mc:AlternateContent>
    </w:r>
  </w:p>
  <w:p>
    <w:pPr>
      <w:pStyle w:val="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keepNext w:val="0"/>
      <w:keepLines w:val="0"/>
      <w:pageBreakBefore w:val="0"/>
      <w:widowControl w:val="0"/>
      <w:pBdr>
        <w:bottom w:val="none" w:color="auto" w:sz="0" w:space="0"/>
      </w:pBdr>
      <w:kinsoku/>
      <w:wordWrap/>
      <w:overflowPunct/>
      <w:topLinePunct w:val="0"/>
      <w:autoSpaceDE/>
      <w:autoSpaceDN/>
      <w:bidi w:val="0"/>
      <w:adjustRightInd/>
      <w:snapToGrid w:val="0"/>
      <w:spacing w:line="240" w:lineRule="auto"/>
      <w:ind w:firstLine="1988" w:firstLineChars="900"/>
      <w:jc w:val="right"/>
      <w:textAlignment w:val="auto"/>
    </w:pPr>
    <w:r>
      <w:rPr>
        <w:rFonts w:hint="eastAsia" w:ascii="黑体" w:hAnsi="黑体" w:eastAsia="黑体" w:cs="黑体"/>
        <w:b/>
        <w:bCs/>
        <w:sz w:val="22"/>
        <w:szCs w:val="22"/>
        <w:lang w:val="en-US" w:eastAsia="zh-CN"/>
      </w:rPr>
      <w:drawing>
        <wp:anchor distT="0" distB="0" distL="114300" distR="114300" simplePos="0" relativeHeight="251660288" behindDoc="0" locked="0" layoutInCell="1" allowOverlap="1">
          <wp:simplePos x="0" y="0"/>
          <wp:positionH relativeFrom="column">
            <wp:posOffset>10795</wp:posOffset>
          </wp:positionH>
          <wp:positionV relativeFrom="paragraph">
            <wp:posOffset>-98425</wp:posOffset>
          </wp:positionV>
          <wp:extent cx="1216025" cy="297180"/>
          <wp:effectExtent l="0" t="0" r="3175" b="7620"/>
          <wp:wrapNone/>
          <wp:docPr id="2" name="图片 2" descr="院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院标"/>
                  <pic:cNvPicPr>
                    <a:picLocks noChangeAspect="1"/>
                  </pic:cNvPicPr>
                </pic:nvPicPr>
                <pic:blipFill>
                  <a:blip r:embed="rId1"/>
                  <a:stretch>
                    <a:fillRect/>
                  </a:stretch>
                </pic:blipFill>
                <pic:spPr>
                  <a:xfrm>
                    <a:off x="0" y="0"/>
                    <a:ext cx="1216025" cy="297180"/>
                  </a:xfrm>
                  <a:prstGeom prst="rect">
                    <a:avLst/>
                  </a:prstGeom>
                  <a:noFill/>
                  <a:ln>
                    <a:noFill/>
                  </a:ln>
                </pic:spPr>
              </pic:pic>
            </a:graphicData>
          </a:graphic>
        </wp:anchor>
      </w:drawing>
    </w:r>
    <w:r>
      <w:rPr>
        <w:rFonts w:hint="eastAsia"/>
      </w:rPr>
      <w:t xml:space="preserve">      </w:t>
    </w:r>
    <w:r>
      <w:t xml:space="preserve">   </w:t>
    </w:r>
    <w:r>
      <w:rPr>
        <w:sz w:val="13"/>
        <w:szCs w:val="2"/>
      </w:rPr>
      <mc:AlternateContent>
        <mc:Choice Requires="wps">
          <w:drawing>
            <wp:anchor distT="0" distB="0" distL="114300" distR="114300" simplePos="0" relativeHeight="251659264" behindDoc="0" locked="0" layoutInCell="1" allowOverlap="1">
              <wp:simplePos x="0" y="0"/>
              <wp:positionH relativeFrom="column">
                <wp:posOffset>45720</wp:posOffset>
              </wp:positionH>
              <wp:positionV relativeFrom="paragraph">
                <wp:posOffset>288925</wp:posOffset>
              </wp:positionV>
              <wp:extent cx="5676900" cy="635"/>
              <wp:effectExtent l="0" t="0" r="0" b="0"/>
              <wp:wrapNone/>
              <wp:docPr id="1" name="直接连接符 1"/>
              <wp:cNvGraphicFramePr/>
              <a:graphic xmlns:a="http://schemas.openxmlformats.org/drawingml/2006/main">
                <a:graphicData uri="http://schemas.microsoft.com/office/word/2010/wordprocessingShape">
                  <wps:wsp>
                    <wps:cNvCnPr/>
                    <wps:spPr>
                      <a:xfrm>
                        <a:off x="0" y="0"/>
                        <a:ext cx="5676900" cy="63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3.6pt;margin-top:22.75pt;height:0.05pt;width:447pt;z-index:251659264;mso-width-relative:page;mso-height-relative:page;" filled="f" stroked="t" coordsize="21600,21600" o:gfxdata="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PMN70PUAAAABwEAAA8AAAAAAAAAAQAgAAAAIgAAAGRycy9kb3ducmV2LnhtbFBLAQIUABQA&#10;AAAIAIdO4kCdU7bs9AEAAOYDAAAOAAAAAAAAAAEAIAAAACMBAABkcnMvZTJvRG9jLnhtbFBLBQYA&#10;AAAABgAGAFkBAACJBQAAAAA=&#10;">
              <v:fill on="f" focussize="0,0"/>
              <v:stroke color="#000000" joinstyle="round"/>
              <v:imagedata o:title=""/>
              <o:lock v:ext="edit" aspectratio="f"/>
            </v:line>
          </w:pict>
        </mc:Fallback>
      </mc:AlternateContent>
    </w:r>
    <w:r>
      <w:rPr>
        <w:rFonts w:hint="eastAsia" w:ascii="宋体" w:hAnsi="宋体" w:eastAsia="宋体" w:cs="宋体"/>
        <w:b w:val="0"/>
        <w:bCs w:val="0"/>
        <w:sz w:val="18"/>
        <w:szCs w:val="18"/>
        <w:lang w:val="en-US" w:eastAsia="zh-CN"/>
      </w:rPr>
      <w:t>中国科大附一院（安徽省立医院）合同</w:t>
    </w:r>
    <w:r>
      <w:rPr>
        <w:rFonts w:hint="eastAsia" w:ascii="宋体" w:hAnsi="宋体" w:eastAsia="宋体" w:cs="宋体"/>
        <w:b w:val="0"/>
        <w:bCs w:val="0"/>
        <w:sz w:val="18"/>
        <w:szCs w:val="18"/>
        <w:lang w:val="en-US" w:eastAsia="zh-CN"/>
      </w:rPr>
      <w:fldChar w:fldCharType="begin"/>
    </w:r>
    <w:r>
      <w:rPr>
        <w:rFonts w:hint="eastAsia" w:ascii="宋体" w:hAnsi="宋体" w:eastAsia="宋体" w:cs="宋体"/>
        <w:b w:val="0"/>
        <w:bCs w:val="0"/>
        <w:sz w:val="18"/>
        <w:szCs w:val="18"/>
        <w:lang w:val="en-US" w:eastAsia="zh-CN"/>
      </w:rPr>
      <w:instrText xml:space="preserve"> Time \@ "yyyy </w:instrText>
    </w:r>
    <w:r>
      <w:rPr>
        <w:rFonts w:hint="eastAsia" w:ascii="宋体" w:hAnsi="宋体" w:eastAsia="宋体" w:cs="宋体"/>
        <w:b w:val="0"/>
        <w:bCs w:val="0"/>
        <w:sz w:val="18"/>
        <w:szCs w:val="18"/>
        <w:lang w:val="en-US" w:eastAsia="zh-CN"/>
      </w:rPr>
      <w:fldChar w:fldCharType="separate"/>
    </w:r>
    <w:r>
      <w:rPr>
        <w:rFonts w:hint="eastAsia" w:ascii="宋体" w:hAnsi="宋体" w:eastAsia="宋体" w:cs="宋体"/>
        <w:b w:val="0"/>
        <w:bCs w:val="0"/>
        <w:sz w:val="18"/>
        <w:szCs w:val="18"/>
        <w:lang w:val="en-US" w:eastAsia="zh-CN"/>
      </w:rPr>
      <w:t xml:space="preserve">2024 </w:t>
    </w:r>
    <w:r>
      <w:rPr>
        <w:rFonts w:hint="eastAsia" w:ascii="宋体" w:hAnsi="宋体" w:eastAsia="宋体" w:cs="宋体"/>
        <w:b w:val="0"/>
        <w:bCs w:val="0"/>
        <w:sz w:val="18"/>
        <w:szCs w:val="18"/>
        <w:lang w:val="en-US" w:eastAsia="zh-CN"/>
      </w:rPr>
      <w:fldChar w:fldCharType="end"/>
    </w:r>
    <w:r>
      <w:rPr>
        <w:rFonts w:hint="eastAsia" w:ascii="宋体" w:hAnsi="宋体" w:eastAsia="宋体" w:cs="宋体"/>
        <w:b w:val="0"/>
        <w:bCs w:val="0"/>
        <w:sz w:val="18"/>
        <w:szCs w:val="18"/>
        <w:lang w:val="en-US" w:eastAsia="zh-CN"/>
      </w:rPr>
      <w:t>-01</w:t>
    </w:r>
  </w:p>
  <w:p>
    <w:pPr>
      <w:pStyle w:val="15"/>
    </w:pPr>
    <w:r>
      <w:t xml:space="preserve">       </w:t>
    </w:r>
    <w:r>
      <w:rPr>
        <w:rFonts w:hint="eastAsia"/>
      </w:rPr>
      <w:t xml:space="preserve">                         </w:t>
    </w:r>
    <w:r>
      <w:t xml:space="preserve"> </w:t>
    </w:r>
    <w:r>
      <w:rPr>
        <w:rFonts w:hint="eastAsia"/>
      </w:rPr>
      <w:t xml:space="preserve">       </w:t>
    </w:r>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BD2C33"/>
    <w:multiLevelType w:val="singleLevel"/>
    <w:tmpl w:val="A1BD2C33"/>
    <w:lvl w:ilvl="0" w:tentative="0">
      <w:start w:val="1"/>
      <w:numFmt w:val="chineseCounting"/>
      <w:suff w:val="nothing"/>
      <w:lvlText w:val="%1、"/>
      <w:lvlJc w:val="left"/>
      <w:rPr>
        <w:rFonts w:hint="eastAsia"/>
      </w:rPr>
    </w:lvl>
  </w:abstractNum>
  <w:abstractNum w:abstractNumId="1">
    <w:nsid w:val="3B9144DC"/>
    <w:multiLevelType w:val="singleLevel"/>
    <w:tmpl w:val="3B9144DC"/>
    <w:lvl w:ilvl="0" w:tentative="0">
      <w:start w:val="4"/>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WM0ZmY4OGIzYmM1ZDJkNTEyNWUyYTM4YzhkOTI4YzgifQ=="/>
  </w:docVars>
  <w:rsids>
    <w:rsidRoot w:val="00DD2444"/>
    <w:rsid w:val="000038C8"/>
    <w:rsid w:val="000047F4"/>
    <w:rsid w:val="00004B03"/>
    <w:rsid w:val="00004E6B"/>
    <w:rsid w:val="00010A41"/>
    <w:rsid w:val="00011D61"/>
    <w:rsid w:val="000206F0"/>
    <w:rsid w:val="00020701"/>
    <w:rsid w:val="00020BD0"/>
    <w:rsid w:val="00022D12"/>
    <w:rsid w:val="00033680"/>
    <w:rsid w:val="00037BB2"/>
    <w:rsid w:val="00041ECB"/>
    <w:rsid w:val="000536FE"/>
    <w:rsid w:val="00055593"/>
    <w:rsid w:val="00061E73"/>
    <w:rsid w:val="000653A1"/>
    <w:rsid w:val="00065ED1"/>
    <w:rsid w:val="00070719"/>
    <w:rsid w:val="000735A9"/>
    <w:rsid w:val="00075004"/>
    <w:rsid w:val="0008606B"/>
    <w:rsid w:val="00090DD3"/>
    <w:rsid w:val="000929E0"/>
    <w:rsid w:val="000A2AC9"/>
    <w:rsid w:val="000A6B31"/>
    <w:rsid w:val="000B096D"/>
    <w:rsid w:val="000B23B1"/>
    <w:rsid w:val="000B3E36"/>
    <w:rsid w:val="000C1835"/>
    <w:rsid w:val="000C21E5"/>
    <w:rsid w:val="000C29EF"/>
    <w:rsid w:val="000C4A32"/>
    <w:rsid w:val="000C56E9"/>
    <w:rsid w:val="000C5C33"/>
    <w:rsid w:val="000C6398"/>
    <w:rsid w:val="000D1274"/>
    <w:rsid w:val="000D29CB"/>
    <w:rsid w:val="000D2B43"/>
    <w:rsid w:val="000D5491"/>
    <w:rsid w:val="000E1760"/>
    <w:rsid w:val="000E67F2"/>
    <w:rsid w:val="001019C6"/>
    <w:rsid w:val="001019CF"/>
    <w:rsid w:val="00102B2D"/>
    <w:rsid w:val="00107142"/>
    <w:rsid w:val="00107E4F"/>
    <w:rsid w:val="00110E77"/>
    <w:rsid w:val="00111264"/>
    <w:rsid w:val="00113BD9"/>
    <w:rsid w:val="00114287"/>
    <w:rsid w:val="0011465A"/>
    <w:rsid w:val="001169F2"/>
    <w:rsid w:val="00117EC2"/>
    <w:rsid w:val="00122010"/>
    <w:rsid w:val="00122BAD"/>
    <w:rsid w:val="001232A3"/>
    <w:rsid w:val="00123BFD"/>
    <w:rsid w:val="0013029A"/>
    <w:rsid w:val="00130716"/>
    <w:rsid w:val="001325F5"/>
    <w:rsid w:val="00132D0C"/>
    <w:rsid w:val="001330CB"/>
    <w:rsid w:val="00136BF0"/>
    <w:rsid w:val="001370C0"/>
    <w:rsid w:val="00141AA6"/>
    <w:rsid w:val="00141F87"/>
    <w:rsid w:val="00147F82"/>
    <w:rsid w:val="00151609"/>
    <w:rsid w:val="001546FB"/>
    <w:rsid w:val="00155DCD"/>
    <w:rsid w:val="001568D8"/>
    <w:rsid w:val="001617FE"/>
    <w:rsid w:val="00166102"/>
    <w:rsid w:val="0016627D"/>
    <w:rsid w:val="00167777"/>
    <w:rsid w:val="00171791"/>
    <w:rsid w:val="0017255C"/>
    <w:rsid w:val="00174757"/>
    <w:rsid w:val="0017493F"/>
    <w:rsid w:val="00190E4B"/>
    <w:rsid w:val="00191B3D"/>
    <w:rsid w:val="0019411E"/>
    <w:rsid w:val="00195024"/>
    <w:rsid w:val="001A1530"/>
    <w:rsid w:val="001A1614"/>
    <w:rsid w:val="001A1B4E"/>
    <w:rsid w:val="001A5BDD"/>
    <w:rsid w:val="001B266E"/>
    <w:rsid w:val="001B2A4F"/>
    <w:rsid w:val="001C1AC3"/>
    <w:rsid w:val="001C3297"/>
    <w:rsid w:val="001C4F04"/>
    <w:rsid w:val="001C707A"/>
    <w:rsid w:val="001D00BF"/>
    <w:rsid w:val="001D08BD"/>
    <w:rsid w:val="001D2A88"/>
    <w:rsid w:val="001D2ADE"/>
    <w:rsid w:val="001E3CE0"/>
    <w:rsid w:val="001E3F24"/>
    <w:rsid w:val="001E645A"/>
    <w:rsid w:val="001E792C"/>
    <w:rsid w:val="001E7970"/>
    <w:rsid w:val="001E7C49"/>
    <w:rsid w:val="001F009D"/>
    <w:rsid w:val="001F058E"/>
    <w:rsid w:val="001F10EF"/>
    <w:rsid w:val="00205A3D"/>
    <w:rsid w:val="00206B4D"/>
    <w:rsid w:val="00211D73"/>
    <w:rsid w:val="00213C78"/>
    <w:rsid w:val="00213D90"/>
    <w:rsid w:val="00215C99"/>
    <w:rsid w:val="0022721C"/>
    <w:rsid w:val="002332C5"/>
    <w:rsid w:val="00240B5F"/>
    <w:rsid w:val="00247858"/>
    <w:rsid w:val="002524CF"/>
    <w:rsid w:val="002572F0"/>
    <w:rsid w:val="00270828"/>
    <w:rsid w:val="00271DE7"/>
    <w:rsid w:val="00273241"/>
    <w:rsid w:val="002751D3"/>
    <w:rsid w:val="00280FE1"/>
    <w:rsid w:val="002812DF"/>
    <w:rsid w:val="002849A3"/>
    <w:rsid w:val="002936D6"/>
    <w:rsid w:val="002939D6"/>
    <w:rsid w:val="00297465"/>
    <w:rsid w:val="002A702D"/>
    <w:rsid w:val="002B18B4"/>
    <w:rsid w:val="002B240E"/>
    <w:rsid w:val="002B2A91"/>
    <w:rsid w:val="002B6EA7"/>
    <w:rsid w:val="002C06BB"/>
    <w:rsid w:val="002C1CE3"/>
    <w:rsid w:val="002C293E"/>
    <w:rsid w:val="002C35BA"/>
    <w:rsid w:val="002C3854"/>
    <w:rsid w:val="002C4464"/>
    <w:rsid w:val="002C64C1"/>
    <w:rsid w:val="002C6AF7"/>
    <w:rsid w:val="002D3255"/>
    <w:rsid w:val="002D43AC"/>
    <w:rsid w:val="002D4C9D"/>
    <w:rsid w:val="002D65C9"/>
    <w:rsid w:val="002D6665"/>
    <w:rsid w:val="002E0F2F"/>
    <w:rsid w:val="002E35E8"/>
    <w:rsid w:val="002E3ABB"/>
    <w:rsid w:val="002F2966"/>
    <w:rsid w:val="002F4643"/>
    <w:rsid w:val="002F7726"/>
    <w:rsid w:val="002F7A71"/>
    <w:rsid w:val="0030176D"/>
    <w:rsid w:val="003052F6"/>
    <w:rsid w:val="00305BBA"/>
    <w:rsid w:val="003070F7"/>
    <w:rsid w:val="00307B9D"/>
    <w:rsid w:val="00310E6C"/>
    <w:rsid w:val="00311E47"/>
    <w:rsid w:val="00312AFA"/>
    <w:rsid w:val="00312B90"/>
    <w:rsid w:val="00317AE1"/>
    <w:rsid w:val="003202F4"/>
    <w:rsid w:val="00325CBF"/>
    <w:rsid w:val="00340922"/>
    <w:rsid w:val="0034196D"/>
    <w:rsid w:val="00343097"/>
    <w:rsid w:val="00350530"/>
    <w:rsid w:val="00350561"/>
    <w:rsid w:val="003505A0"/>
    <w:rsid w:val="0035258D"/>
    <w:rsid w:val="003615ED"/>
    <w:rsid w:val="003618A4"/>
    <w:rsid w:val="00361C6C"/>
    <w:rsid w:val="00361E96"/>
    <w:rsid w:val="003637CF"/>
    <w:rsid w:val="003669CE"/>
    <w:rsid w:val="00367DFB"/>
    <w:rsid w:val="003726AA"/>
    <w:rsid w:val="003761DA"/>
    <w:rsid w:val="00377F0E"/>
    <w:rsid w:val="00382A85"/>
    <w:rsid w:val="00382FD1"/>
    <w:rsid w:val="003850A3"/>
    <w:rsid w:val="00385740"/>
    <w:rsid w:val="00390178"/>
    <w:rsid w:val="003929AA"/>
    <w:rsid w:val="00393F9F"/>
    <w:rsid w:val="00394837"/>
    <w:rsid w:val="003A7197"/>
    <w:rsid w:val="003A7FE4"/>
    <w:rsid w:val="003B449E"/>
    <w:rsid w:val="003C2364"/>
    <w:rsid w:val="003C299B"/>
    <w:rsid w:val="003C6839"/>
    <w:rsid w:val="003C6F20"/>
    <w:rsid w:val="003E09C6"/>
    <w:rsid w:val="003E352F"/>
    <w:rsid w:val="003E71DC"/>
    <w:rsid w:val="003F1113"/>
    <w:rsid w:val="003F35D2"/>
    <w:rsid w:val="003F69DE"/>
    <w:rsid w:val="00402DB8"/>
    <w:rsid w:val="004069A4"/>
    <w:rsid w:val="00407443"/>
    <w:rsid w:val="0041035B"/>
    <w:rsid w:val="0041263A"/>
    <w:rsid w:val="0041451E"/>
    <w:rsid w:val="004217D2"/>
    <w:rsid w:val="0042219B"/>
    <w:rsid w:val="004248DE"/>
    <w:rsid w:val="004259D8"/>
    <w:rsid w:val="004275BB"/>
    <w:rsid w:val="00427729"/>
    <w:rsid w:val="004308EF"/>
    <w:rsid w:val="0043458A"/>
    <w:rsid w:val="00434E71"/>
    <w:rsid w:val="0043512E"/>
    <w:rsid w:val="00435B3A"/>
    <w:rsid w:val="004378CD"/>
    <w:rsid w:val="00437A07"/>
    <w:rsid w:val="00443C2D"/>
    <w:rsid w:val="00446B1F"/>
    <w:rsid w:val="00450276"/>
    <w:rsid w:val="00450987"/>
    <w:rsid w:val="00453A43"/>
    <w:rsid w:val="00453E97"/>
    <w:rsid w:val="004549B8"/>
    <w:rsid w:val="00454F2B"/>
    <w:rsid w:val="00455A93"/>
    <w:rsid w:val="00457D10"/>
    <w:rsid w:val="004742FD"/>
    <w:rsid w:val="0047472F"/>
    <w:rsid w:val="004774E2"/>
    <w:rsid w:val="0047765A"/>
    <w:rsid w:val="00481141"/>
    <w:rsid w:val="0048118B"/>
    <w:rsid w:val="0048294D"/>
    <w:rsid w:val="00486757"/>
    <w:rsid w:val="004868B7"/>
    <w:rsid w:val="00487A99"/>
    <w:rsid w:val="00497EE1"/>
    <w:rsid w:val="004A354D"/>
    <w:rsid w:val="004A6081"/>
    <w:rsid w:val="004A6BE6"/>
    <w:rsid w:val="004B1000"/>
    <w:rsid w:val="004B478D"/>
    <w:rsid w:val="004B569E"/>
    <w:rsid w:val="004B6405"/>
    <w:rsid w:val="004C0C01"/>
    <w:rsid w:val="004C0DAF"/>
    <w:rsid w:val="004C2AE6"/>
    <w:rsid w:val="004C3735"/>
    <w:rsid w:val="004D5976"/>
    <w:rsid w:val="004D5A5A"/>
    <w:rsid w:val="004E0066"/>
    <w:rsid w:val="004E1D0C"/>
    <w:rsid w:val="004E7175"/>
    <w:rsid w:val="004E7E90"/>
    <w:rsid w:val="004E7EB6"/>
    <w:rsid w:val="004F3B59"/>
    <w:rsid w:val="00503826"/>
    <w:rsid w:val="00504DAA"/>
    <w:rsid w:val="00505A35"/>
    <w:rsid w:val="00507C63"/>
    <w:rsid w:val="00511E7A"/>
    <w:rsid w:val="00514B1C"/>
    <w:rsid w:val="00533C7D"/>
    <w:rsid w:val="00545691"/>
    <w:rsid w:val="00552783"/>
    <w:rsid w:val="00557F9E"/>
    <w:rsid w:val="00563B97"/>
    <w:rsid w:val="00564E5F"/>
    <w:rsid w:val="005658C3"/>
    <w:rsid w:val="00565941"/>
    <w:rsid w:val="005715B9"/>
    <w:rsid w:val="00571C81"/>
    <w:rsid w:val="00572169"/>
    <w:rsid w:val="00573A90"/>
    <w:rsid w:val="005761F1"/>
    <w:rsid w:val="0058077F"/>
    <w:rsid w:val="00580CF6"/>
    <w:rsid w:val="00582485"/>
    <w:rsid w:val="00583DFF"/>
    <w:rsid w:val="005861DD"/>
    <w:rsid w:val="00594CDA"/>
    <w:rsid w:val="00595B26"/>
    <w:rsid w:val="00595F20"/>
    <w:rsid w:val="00596B06"/>
    <w:rsid w:val="005A112B"/>
    <w:rsid w:val="005A3B4A"/>
    <w:rsid w:val="005A5B84"/>
    <w:rsid w:val="005A7A11"/>
    <w:rsid w:val="005B08D5"/>
    <w:rsid w:val="005B32CD"/>
    <w:rsid w:val="005B596F"/>
    <w:rsid w:val="005C3296"/>
    <w:rsid w:val="005C4F3D"/>
    <w:rsid w:val="005C605F"/>
    <w:rsid w:val="005C7E21"/>
    <w:rsid w:val="005D06A1"/>
    <w:rsid w:val="005D5178"/>
    <w:rsid w:val="005E4A60"/>
    <w:rsid w:val="005E58F2"/>
    <w:rsid w:val="005E6215"/>
    <w:rsid w:val="005F16E0"/>
    <w:rsid w:val="005F51D9"/>
    <w:rsid w:val="005F6579"/>
    <w:rsid w:val="005F6810"/>
    <w:rsid w:val="005F70AB"/>
    <w:rsid w:val="005F7B58"/>
    <w:rsid w:val="0060464D"/>
    <w:rsid w:val="00605A7B"/>
    <w:rsid w:val="006063E9"/>
    <w:rsid w:val="00606FD6"/>
    <w:rsid w:val="006109A7"/>
    <w:rsid w:val="00613DF4"/>
    <w:rsid w:val="00615BBF"/>
    <w:rsid w:val="006202A1"/>
    <w:rsid w:val="0062036B"/>
    <w:rsid w:val="00624B51"/>
    <w:rsid w:val="006259B0"/>
    <w:rsid w:val="00637733"/>
    <w:rsid w:val="00641475"/>
    <w:rsid w:val="00641A9A"/>
    <w:rsid w:val="006444B8"/>
    <w:rsid w:val="00651344"/>
    <w:rsid w:val="006533C1"/>
    <w:rsid w:val="00662A06"/>
    <w:rsid w:val="0066521B"/>
    <w:rsid w:val="006661F2"/>
    <w:rsid w:val="006702B9"/>
    <w:rsid w:val="00672C69"/>
    <w:rsid w:val="006732E6"/>
    <w:rsid w:val="00676DD1"/>
    <w:rsid w:val="0067713C"/>
    <w:rsid w:val="0067782E"/>
    <w:rsid w:val="00680615"/>
    <w:rsid w:val="00680B00"/>
    <w:rsid w:val="006816C0"/>
    <w:rsid w:val="00690907"/>
    <w:rsid w:val="00695A11"/>
    <w:rsid w:val="006970BE"/>
    <w:rsid w:val="006B23ED"/>
    <w:rsid w:val="006B320B"/>
    <w:rsid w:val="006B3379"/>
    <w:rsid w:val="006B6190"/>
    <w:rsid w:val="006C0D39"/>
    <w:rsid w:val="006C2A07"/>
    <w:rsid w:val="006C6D25"/>
    <w:rsid w:val="006C7928"/>
    <w:rsid w:val="006D3A9C"/>
    <w:rsid w:val="006D3C69"/>
    <w:rsid w:val="006D47DB"/>
    <w:rsid w:val="006D50CF"/>
    <w:rsid w:val="006D5CB0"/>
    <w:rsid w:val="006E3169"/>
    <w:rsid w:val="006F2907"/>
    <w:rsid w:val="00705138"/>
    <w:rsid w:val="00706EB0"/>
    <w:rsid w:val="0071009C"/>
    <w:rsid w:val="007114B1"/>
    <w:rsid w:val="007144A6"/>
    <w:rsid w:val="00714730"/>
    <w:rsid w:val="007175D7"/>
    <w:rsid w:val="00720000"/>
    <w:rsid w:val="0072307D"/>
    <w:rsid w:val="00733F90"/>
    <w:rsid w:val="00734221"/>
    <w:rsid w:val="00734E0B"/>
    <w:rsid w:val="007352EE"/>
    <w:rsid w:val="00735EB4"/>
    <w:rsid w:val="00743C05"/>
    <w:rsid w:val="0074511D"/>
    <w:rsid w:val="00746779"/>
    <w:rsid w:val="007541F6"/>
    <w:rsid w:val="00760EC7"/>
    <w:rsid w:val="00764078"/>
    <w:rsid w:val="00764409"/>
    <w:rsid w:val="00764A50"/>
    <w:rsid w:val="007678D5"/>
    <w:rsid w:val="007678DD"/>
    <w:rsid w:val="00771A53"/>
    <w:rsid w:val="00772FBF"/>
    <w:rsid w:val="0077491F"/>
    <w:rsid w:val="007756FC"/>
    <w:rsid w:val="00776ABD"/>
    <w:rsid w:val="007813D8"/>
    <w:rsid w:val="0078184F"/>
    <w:rsid w:val="00782E78"/>
    <w:rsid w:val="00782F2C"/>
    <w:rsid w:val="0078370F"/>
    <w:rsid w:val="00784764"/>
    <w:rsid w:val="00792DCE"/>
    <w:rsid w:val="007973E2"/>
    <w:rsid w:val="007A2974"/>
    <w:rsid w:val="007A3B7A"/>
    <w:rsid w:val="007A6831"/>
    <w:rsid w:val="007A7670"/>
    <w:rsid w:val="007B091C"/>
    <w:rsid w:val="007B37A7"/>
    <w:rsid w:val="007B5C7F"/>
    <w:rsid w:val="007C1AC3"/>
    <w:rsid w:val="007C42D6"/>
    <w:rsid w:val="007C4A39"/>
    <w:rsid w:val="007C635E"/>
    <w:rsid w:val="007C7EDE"/>
    <w:rsid w:val="007D4388"/>
    <w:rsid w:val="007D574F"/>
    <w:rsid w:val="007D57E1"/>
    <w:rsid w:val="007E0ACE"/>
    <w:rsid w:val="007E0AF1"/>
    <w:rsid w:val="007E7DF9"/>
    <w:rsid w:val="007F3B92"/>
    <w:rsid w:val="007F3F35"/>
    <w:rsid w:val="007F3FF7"/>
    <w:rsid w:val="007F53A0"/>
    <w:rsid w:val="007F6884"/>
    <w:rsid w:val="007F71CB"/>
    <w:rsid w:val="007F7C86"/>
    <w:rsid w:val="008001A0"/>
    <w:rsid w:val="008048F6"/>
    <w:rsid w:val="0080614F"/>
    <w:rsid w:val="0081127A"/>
    <w:rsid w:val="008125FC"/>
    <w:rsid w:val="008138A0"/>
    <w:rsid w:val="008212B4"/>
    <w:rsid w:val="00822FFA"/>
    <w:rsid w:val="00823010"/>
    <w:rsid w:val="00825D3A"/>
    <w:rsid w:val="00825D59"/>
    <w:rsid w:val="00833437"/>
    <w:rsid w:val="008345D8"/>
    <w:rsid w:val="008403A6"/>
    <w:rsid w:val="00840AD1"/>
    <w:rsid w:val="00843862"/>
    <w:rsid w:val="00845DE4"/>
    <w:rsid w:val="00850048"/>
    <w:rsid w:val="008511AD"/>
    <w:rsid w:val="00851589"/>
    <w:rsid w:val="008552C3"/>
    <w:rsid w:val="008566D1"/>
    <w:rsid w:val="0086484F"/>
    <w:rsid w:val="00864AFC"/>
    <w:rsid w:val="00866B45"/>
    <w:rsid w:val="00866E06"/>
    <w:rsid w:val="00873648"/>
    <w:rsid w:val="00874D9E"/>
    <w:rsid w:val="00874E51"/>
    <w:rsid w:val="00882048"/>
    <w:rsid w:val="00883019"/>
    <w:rsid w:val="008840CB"/>
    <w:rsid w:val="0088449E"/>
    <w:rsid w:val="00887962"/>
    <w:rsid w:val="008919FC"/>
    <w:rsid w:val="00895E71"/>
    <w:rsid w:val="008A1C56"/>
    <w:rsid w:val="008A76BA"/>
    <w:rsid w:val="008B602A"/>
    <w:rsid w:val="008C0EFA"/>
    <w:rsid w:val="008C2C6C"/>
    <w:rsid w:val="008C3096"/>
    <w:rsid w:val="008D04A7"/>
    <w:rsid w:val="008D0D39"/>
    <w:rsid w:val="008D1C4D"/>
    <w:rsid w:val="008D29E1"/>
    <w:rsid w:val="008D2FC4"/>
    <w:rsid w:val="008D38FE"/>
    <w:rsid w:val="008D4033"/>
    <w:rsid w:val="008D4FE9"/>
    <w:rsid w:val="008D557B"/>
    <w:rsid w:val="008D6CBE"/>
    <w:rsid w:val="008E034C"/>
    <w:rsid w:val="008E73DC"/>
    <w:rsid w:val="008E7417"/>
    <w:rsid w:val="009031C4"/>
    <w:rsid w:val="009036A1"/>
    <w:rsid w:val="00906CE9"/>
    <w:rsid w:val="00914D01"/>
    <w:rsid w:val="00916BFB"/>
    <w:rsid w:val="00916C28"/>
    <w:rsid w:val="0092296E"/>
    <w:rsid w:val="00923BE8"/>
    <w:rsid w:val="0092429A"/>
    <w:rsid w:val="0093093D"/>
    <w:rsid w:val="0093383A"/>
    <w:rsid w:val="00940FD5"/>
    <w:rsid w:val="00945BD2"/>
    <w:rsid w:val="00946453"/>
    <w:rsid w:val="00951494"/>
    <w:rsid w:val="00952321"/>
    <w:rsid w:val="009527D7"/>
    <w:rsid w:val="00952800"/>
    <w:rsid w:val="00954BFA"/>
    <w:rsid w:val="00954EEB"/>
    <w:rsid w:val="00957198"/>
    <w:rsid w:val="0096481D"/>
    <w:rsid w:val="00974AF9"/>
    <w:rsid w:val="0097767C"/>
    <w:rsid w:val="009816D0"/>
    <w:rsid w:val="00984127"/>
    <w:rsid w:val="00986CD9"/>
    <w:rsid w:val="009878FF"/>
    <w:rsid w:val="00987FEE"/>
    <w:rsid w:val="009A0EE2"/>
    <w:rsid w:val="009A1EAA"/>
    <w:rsid w:val="009A227B"/>
    <w:rsid w:val="009A4A3F"/>
    <w:rsid w:val="009A4CB0"/>
    <w:rsid w:val="009A54F2"/>
    <w:rsid w:val="009B3828"/>
    <w:rsid w:val="009B47D5"/>
    <w:rsid w:val="009B4E2A"/>
    <w:rsid w:val="009B60D5"/>
    <w:rsid w:val="009C3731"/>
    <w:rsid w:val="009C3A6B"/>
    <w:rsid w:val="009C3CB5"/>
    <w:rsid w:val="009C5300"/>
    <w:rsid w:val="009C5D57"/>
    <w:rsid w:val="009C663B"/>
    <w:rsid w:val="009C6DEC"/>
    <w:rsid w:val="009D12D0"/>
    <w:rsid w:val="009D2603"/>
    <w:rsid w:val="009E0969"/>
    <w:rsid w:val="009E3053"/>
    <w:rsid w:val="009E5FDD"/>
    <w:rsid w:val="009E6056"/>
    <w:rsid w:val="009F1272"/>
    <w:rsid w:val="00A047CA"/>
    <w:rsid w:val="00A11A4F"/>
    <w:rsid w:val="00A136D2"/>
    <w:rsid w:val="00A15923"/>
    <w:rsid w:val="00A204DE"/>
    <w:rsid w:val="00A205DF"/>
    <w:rsid w:val="00A22AB8"/>
    <w:rsid w:val="00A23CD3"/>
    <w:rsid w:val="00A27992"/>
    <w:rsid w:val="00A31955"/>
    <w:rsid w:val="00A350F8"/>
    <w:rsid w:val="00A35443"/>
    <w:rsid w:val="00A3720C"/>
    <w:rsid w:val="00A40771"/>
    <w:rsid w:val="00A40A44"/>
    <w:rsid w:val="00A41802"/>
    <w:rsid w:val="00A42B34"/>
    <w:rsid w:val="00A477DF"/>
    <w:rsid w:val="00A56CC9"/>
    <w:rsid w:val="00A608CB"/>
    <w:rsid w:val="00A60FF2"/>
    <w:rsid w:val="00A63D66"/>
    <w:rsid w:val="00A65758"/>
    <w:rsid w:val="00A66566"/>
    <w:rsid w:val="00A8071F"/>
    <w:rsid w:val="00A91276"/>
    <w:rsid w:val="00A91CEB"/>
    <w:rsid w:val="00A978DF"/>
    <w:rsid w:val="00AA0C3C"/>
    <w:rsid w:val="00AA373D"/>
    <w:rsid w:val="00AA4B41"/>
    <w:rsid w:val="00AA5F3F"/>
    <w:rsid w:val="00AA692B"/>
    <w:rsid w:val="00AA6ECA"/>
    <w:rsid w:val="00AB7087"/>
    <w:rsid w:val="00AC011D"/>
    <w:rsid w:val="00AC102E"/>
    <w:rsid w:val="00AD1F04"/>
    <w:rsid w:val="00AD340C"/>
    <w:rsid w:val="00AD4970"/>
    <w:rsid w:val="00AD5FA7"/>
    <w:rsid w:val="00AD7DE9"/>
    <w:rsid w:val="00AE5E47"/>
    <w:rsid w:val="00AE72DA"/>
    <w:rsid w:val="00B00A13"/>
    <w:rsid w:val="00B02E12"/>
    <w:rsid w:val="00B03A88"/>
    <w:rsid w:val="00B10510"/>
    <w:rsid w:val="00B10942"/>
    <w:rsid w:val="00B217CE"/>
    <w:rsid w:val="00B226E0"/>
    <w:rsid w:val="00B22E93"/>
    <w:rsid w:val="00B256C2"/>
    <w:rsid w:val="00B32B59"/>
    <w:rsid w:val="00B463E2"/>
    <w:rsid w:val="00B477F2"/>
    <w:rsid w:val="00B47852"/>
    <w:rsid w:val="00B47F10"/>
    <w:rsid w:val="00B51715"/>
    <w:rsid w:val="00B51B4F"/>
    <w:rsid w:val="00B52B1E"/>
    <w:rsid w:val="00B6359F"/>
    <w:rsid w:val="00B82B86"/>
    <w:rsid w:val="00B8648A"/>
    <w:rsid w:val="00B90587"/>
    <w:rsid w:val="00B9712C"/>
    <w:rsid w:val="00B971C3"/>
    <w:rsid w:val="00BA0EE2"/>
    <w:rsid w:val="00BA6D74"/>
    <w:rsid w:val="00BB06F4"/>
    <w:rsid w:val="00BB2019"/>
    <w:rsid w:val="00BC0EA8"/>
    <w:rsid w:val="00BC72AC"/>
    <w:rsid w:val="00BD4E64"/>
    <w:rsid w:val="00BD73F8"/>
    <w:rsid w:val="00BE3A60"/>
    <w:rsid w:val="00BE58DD"/>
    <w:rsid w:val="00BF1C3C"/>
    <w:rsid w:val="00BF225C"/>
    <w:rsid w:val="00BF5D3D"/>
    <w:rsid w:val="00C06716"/>
    <w:rsid w:val="00C07D40"/>
    <w:rsid w:val="00C1105B"/>
    <w:rsid w:val="00C17BC2"/>
    <w:rsid w:val="00C2236B"/>
    <w:rsid w:val="00C24FDB"/>
    <w:rsid w:val="00C2657E"/>
    <w:rsid w:val="00C2779B"/>
    <w:rsid w:val="00C34524"/>
    <w:rsid w:val="00C36868"/>
    <w:rsid w:val="00C4554A"/>
    <w:rsid w:val="00C47750"/>
    <w:rsid w:val="00C51D25"/>
    <w:rsid w:val="00C57CCC"/>
    <w:rsid w:val="00C63B5C"/>
    <w:rsid w:val="00C641DD"/>
    <w:rsid w:val="00C66C50"/>
    <w:rsid w:val="00C702D9"/>
    <w:rsid w:val="00C70CCC"/>
    <w:rsid w:val="00C76699"/>
    <w:rsid w:val="00C83339"/>
    <w:rsid w:val="00C837CD"/>
    <w:rsid w:val="00C87B2C"/>
    <w:rsid w:val="00C902EA"/>
    <w:rsid w:val="00C90658"/>
    <w:rsid w:val="00CA28BB"/>
    <w:rsid w:val="00CB0633"/>
    <w:rsid w:val="00CB393D"/>
    <w:rsid w:val="00CB52F0"/>
    <w:rsid w:val="00CC296F"/>
    <w:rsid w:val="00CC47FF"/>
    <w:rsid w:val="00CC71CE"/>
    <w:rsid w:val="00CC7FC0"/>
    <w:rsid w:val="00CD4393"/>
    <w:rsid w:val="00CD47FA"/>
    <w:rsid w:val="00CD4E38"/>
    <w:rsid w:val="00CD63BA"/>
    <w:rsid w:val="00CE0B6F"/>
    <w:rsid w:val="00CE0C8C"/>
    <w:rsid w:val="00CE1C82"/>
    <w:rsid w:val="00CE4323"/>
    <w:rsid w:val="00CE5993"/>
    <w:rsid w:val="00D0322B"/>
    <w:rsid w:val="00D06C22"/>
    <w:rsid w:val="00D11FA2"/>
    <w:rsid w:val="00D152B3"/>
    <w:rsid w:val="00D17968"/>
    <w:rsid w:val="00D17DA5"/>
    <w:rsid w:val="00D216C0"/>
    <w:rsid w:val="00D26003"/>
    <w:rsid w:val="00D32111"/>
    <w:rsid w:val="00D40453"/>
    <w:rsid w:val="00D42056"/>
    <w:rsid w:val="00D470B2"/>
    <w:rsid w:val="00D518D3"/>
    <w:rsid w:val="00D57903"/>
    <w:rsid w:val="00D57AB3"/>
    <w:rsid w:val="00D60146"/>
    <w:rsid w:val="00D60D44"/>
    <w:rsid w:val="00D706EC"/>
    <w:rsid w:val="00D710D8"/>
    <w:rsid w:val="00D83D78"/>
    <w:rsid w:val="00D86A37"/>
    <w:rsid w:val="00D87753"/>
    <w:rsid w:val="00D90064"/>
    <w:rsid w:val="00D927C0"/>
    <w:rsid w:val="00D930A8"/>
    <w:rsid w:val="00D95279"/>
    <w:rsid w:val="00D9690E"/>
    <w:rsid w:val="00D96ABA"/>
    <w:rsid w:val="00D978EC"/>
    <w:rsid w:val="00DA0E65"/>
    <w:rsid w:val="00DA7516"/>
    <w:rsid w:val="00DA7655"/>
    <w:rsid w:val="00DB091F"/>
    <w:rsid w:val="00DB0A7B"/>
    <w:rsid w:val="00DB1CD7"/>
    <w:rsid w:val="00DB3CEA"/>
    <w:rsid w:val="00DC24B2"/>
    <w:rsid w:val="00DC36C3"/>
    <w:rsid w:val="00DC4AA8"/>
    <w:rsid w:val="00DD2444"/>
    <w:rsid w:val="00DD4985"/>
    <w:rsid w:val="00DE38A6"/>
    <w:rsid w:val="00DF032D"/>
    <w:rsid w:val="00DF155B"/>
    <w:rsid w:val="00DF4B81"/>
    <w:rsid w:val="00DF7F95"/>
    <w:rsid w:val="00E03057"/>
    <w:rsid w:val="00E055B4"/>
    <w:rsid w:val="00E056F9"/>
    <w:rsid w:val="00E17139"/>
    <w:rsid w:val="00E2550D"/>
    <w:rsid w:val="00E25F8E"/>
    <w:rsid w:val="00E316E3"/>
    <w:rsid w:val="00E35404"/>
    <w:rsid w:val="00E440AE"/>
    <w:rsid w:val="00E5136A"/>
    <w:rsid w:val="00E625A3"/>
    <w:rsid w:val="00E625E8"/>
    <w:rsid w:val="00E66758"/>
    <w:rsid w:val="00E66CA6"/>
    <w:rsid w:val="00E67EB1"/>
    <w:rsid w:val="00E8054B"/>
    <w:rsid w:val="00E80C4B"/>
    <w:rsid w:val="00E820F2"/>
    <w:rsid w:val="00E822D2"/>
    <w:rsid w:val="00E951DC"/>
    <w:rsid w:val="00E951DF"/>
    <w:rsid w:val="00E977E1"/>
    <w:rsid w:val="00E97E81"/>
    <w:rsid w:val="00EA18A2"/>
    <w:rsid w:val="00EA2A0D"/>
    <w:rsid w:val="00EA2A57"/>
    <w:rsid w:val="00EA3783"/>
    <w:rsid w:val="00EA396B"/>
    <w:rsid w:val="00EA6179"/>
    <w:rsid w:val="00EA6EDB"/>
    <w:rsid w:val="00EA7E03"/>
    <w:rsid w:val="00EB0897"/>
    <w:rsid w:val="00EB54B5"/>
    <w:rsid w:val="00EB5CCF"/>
    <w:rsid w:val="00EB7B47"/>
    <w:rsid w:val="00EB7F03"/>
    <w:rsid w:val="00EC25F6"/>
    <w:rsid w:val="00EC4CC1"/>
    <w:rsid w:val="00EC52DB"/>
    <w:rsid w:val="00EC5FA4"/>
    <w:rsid w:val="00ED5827"/>
    <w:rsid w:val="00ED6138"/>
    <w:rsid w:val="00EE0CDD"/>
    <w:rsid w:val="00EE14BF"/>
    <w:rsid w:val="00EE2BB2"/>
    <w:rsid w:val="00EE2CA4"/>
    <w:rsid w:val="00EE3F35"/>
    <w:rsid w:val="00EE6214"/>
    <w:rsid w:val="00EE6845"/>
    <w:rsid w:val="00EE74EE"/>
    <w:rsid w:val="00EF04C5"/>
    <w:rsid w:val="00EF25DC"/>
    <w:rsid w:val="00EF6225"/>
    <w:rsid w:val="00EF73C1"/>
    <w:rsid w:val="00F0081D"/>
    <w:rsid w:val="00F03E52"/>
    <w:rsid w:val="00F051E0"/>
    <w:rsid w:val="00F06A27"/>
    <w:rsid w:val="00F11430"/>
    <w:rsid w:val="00F115C8"/>
    <w:rsid w:val="00F13DD5"/>
    <w:rsid w:val="00F147B5"/>
    <w:rsid w:val="00F217AE"/>
    <w:rsid w:val="00F2471C"/>
    <w:rsid w:val="00F25120"/>
    <w:rsid w:val="00F252CA"/>
    <w:rsid w:val="00F266CF"/>
    <w:rsid w:val="00F30FA7"/>
    <w:rsid w:val="00F35A35"/>
    <w:rsid w:val="00F35C84"/>
    <w:rsid w:val="00F4215D"/>
    <w:rsid w:val="00F453A7"/>
    <w:rsid w:val="00F45426"/>
    <w:rsid w:val="00F512C4"/>
    <w:rsid w:val="00F51437"/>
    <w:rsid w:val="00F54F51"/>
    <w:rsid w:val="00F5518A"/>
    <w:rsid w:val="00F55374"/>
    <w:rsid w:val="00F55E5B"/>
    <w:rsid w:val="00F63C5E"/>
    <w:rsid w:val="00F67E81"/>
    <w:rsid w:val="00F71789"/>
    <w:rsid w:val="00F74711"/>
    <w:rsid w:val="00F754DA"/>
    <w:rsid w:val="00F76F20"/>
    <w:rsid w:val="00F77AAD"/>
    <w:rsid w:val="00F8593D"/>
    <w:rsid w:val="00F912B4"/>
    <w:rsid w:val="00F9602F"/>
    <w:rsid w:val="00FA79B1"/>
    <w:rsid w:val="00FB1FD4"/>
    <w:rsid w:val="00FB3B0A"/>
    <w:rsid w:val="00FB7813"/>
    <w:rsid w:val="00FC3491"/>
    <w:rsid w:val="00FC4DA0"/>
    <w:rsid w:val="00FD1CDA"/>
    <w:rsid w:val="00FD4FEF"/>
    <w:rsid w:val="00FD5554"/>
    <w:rsid w:val="00FD6312"/>
    <w:rsid w:val="00FD6474"/>
    <w:rsid w:val="00FE4315"/>
    <w:rsid w:val="061834DB"/>
    <w:rsid w:val="0AE61DC4"/>
    <w:rsid w:val="15595AC9"/>
    <w:rsid w:val="18897667"/>
    <w:rsid w:val="1B936BE2"/>
    <w:rsid w:val="1C314E69"/>
    <w:rsid w:val="20941F97"/>
    <w:rsid w:val="226F7EA9"/>
    <w:rsid w:val="22A72EDB"/>
    <w:rsid w:val="231A51D5"/>
    <w:rsid w:val="23DA1CF0"/>
    <w:rsid w:val="263258AF"/>
    <w:rsid w:val="2F965465"/>
    <w:rsid w:val="31C279F9"/>
    <w:rsid w:val="33635037"/>
    <w:rsid w:val="34FB0468"/>
    <w:rsid w:val="35D25A6E"/>
    <w:rsid w:val="3CBC57C6"/>
    <w:rsid w:val="40667C78"/>
    <w:rsid w:val="40EA1084"/>
    <w:rsid w:val="40F65AD9"/>
    <w:rsid w:val="46F05F53"/>
    <w:rsid w:val="48392A99"/>
    <w:rsid w:val="4E905778"/>
    <w:rsid w:val="4E9701D8"/>
    <w:rsid w:val="4E992899"/>
    <w:rsid w:val="4F6C7D0A"/>
    <w:rsid w:val="551F5FF3"/>
    <w:rsid w:val="56EE33A5"/>
    <w:rsid w:val="5EE52AF0"/>
    <w:rsid w:val="64A21A2D"/>
    <w:rsid w:val="659173DE"/>
    <w:rsid w:val="67511200"/>
    <w:rsid w:val="736A6DE2"/>
    <w:rsid w:val="75AE50C4"/>
    <w:rsid w:val="7ABD2F4F"/>
    <w:rsid w:val="7CAE2911"/>
    <w:rsid w:val="7CF36423"/>
    <w:rsid w:val="7FB407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9"/>
    <w:unhideWhenUsed/>
    <w:qFormat/>
    <w:uiPriority w:val="99"/>
    <w:pPr>
      <w:jc w:val="left"/>
    </w:pPr>
  </w:style>
  <w:style w:type="paragraph" w:styleId="3">
    <w:name w:val="Body Text"/>
    <w:basedOn w:val="1"/>
    <w:next w:val="4"/>
    <w:qFormat/>
    <w:uiPriority w:val="0"/>
    <w:pPr>
      <w:spacing w:after="120"/>
    </w:pPr>
  </w:style>
  <w:style w:type="paragraph" w:customStyle="1" w:styleId="4">
    <w:name w:val="Default"/>
    <w:autoRedefine/>
    <w:qFormat/>
    <w:uiPriority w:val="0"/>
    <w:pPr>
      <w:widowControl w:val="0"/>
      <w:autoSpaceDE w:val="0"/>
      <w:autoSpaceDN w:val="0"/>
      <w:adjustRightInd w:val="0"/>
    </w:pPr>
    <w:rPr>
      <w:rFonts w:ascii="黑体" w:hAnsi="Times New Roman" w:eastAsia="黑体" w:cs="黑体"/>
      <w:color w:val="000000"/>
      <w:sz w:val="24"/>
      <w:szCs w:val="24"/>
      <w:lang w:val="en-US" w:eastAsia="zh-CN" w:bidi="ar-SA"/>
    </w:rPr>
  </w:style>
  <w:style w:type="paragraph" w:styleId="5">
    <w:name w:val="Balloon Text"/>
    <w:basedOn w:val="1"/>
    <w:link w:val="14"/>
    <w:unhideWhenUsed/>
    <w:qFormat/>
    <w:uiPriority w:val="99"/>
    <w:rPr>
      <w:sz w:val="18"/>
      <w:szCs w:val="18"/>
    </w:rPr>
  </w:style>
  <w:style w:type="paragraph" w:styleId="6">
    <w:name w:val="footer"/>
    <w:basedOn w:val="1"/>
    <w:link w:val="16"/>
    <w:unhideWhenUsed/>
    <w:qFormat/>
    <w:uiPriority w:val="99"/>
    <w:pPr>
      <w:tabs>
        <w:tab w:val="center" w:pos="4153"/>
        <w:tab w:val="right" w:pos="8306"/>
      </w:tabs>
      <w:snapToGrid w:val="0"/>
      <w:jc w:val="left"/>
    </w:pPr>
    <w:rPr>
      <w:sz w:val="18"/>
      <w:szCs w:val="18"/>
    </w:rPr>
  </w:style>
  <w:style w:type="paragraph" w:styleId="7">
    <w:name w:val="header"/>
    <w:basedOn w:val="1"/>
    <w:link w:val="17"/>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annotation subject"/>
    <w:basedOn w:val="2"/>
    <w:next w:val="2"/>
    <w:link w:val="20"/>
    <w:semiHidden/>
    <w:unhideWhenUsed/>
    <w:qFormat/>
    <w:uiPriority w:val="99"/>
    <w:rPr>
      <w:b/>
      <w:bCs/>
    </w:rPr>
  </w:style>
  <w:style w:type="table" w:styleId="10">
    <w:name w:val="Table Grid"/>
    <w:basedOn w:val="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annotation reference"/>
    <w:basedOn w:val="11"/>
    <w:semiHidden/>
    <w:unhideWhenUsed/>
    <w:qFormat/>
    <w:uiPriority w:val="99"/>
    <w:rPr>
      <w:sz w:val="21"/>
      <w:szCs w:val="21"/>
    </w:rPr>
  </w:style>
  <w:style w:type="paragraph" w:customStyle="1" w:styleId="13">
    <w:name w:val="无间隔1"/>
    <w:qFormat/>
    <w:uiPriority w:val="0"/>
    <w:pPr>
      <w:widowControl w:val="0"/>
      <w:jc w:val="both"/>
    </w:pPr>
    <w:rPr>
      <w:rFonts w:ascii="Calibri" w:hAnsi="Calibri" w:eastAsia="宋体" w:cs="Times New Roman"/>
      <w:kern w:val="2"/>
      <w:sz w:val="21"/>
      <w:szCs w:val="22"/>
      <w:lang w:val="en-US" w:eastAsia="zh-CN" w:bidi="ar-SA"/>
    </w:rPr>
  </w:style>
  <w:style w:type="character" w:customStyle="1" w:styleId="14">
    <w:name w:val="批注框文本 字符"/>
    <w:basedOn w:val="11"/>
    <w:link w:val="5"/>
    <w:autoRedefine/>
    <w:semiHidden/>
    <w:qFormat/>
    <w:uiPriority w:val="99"/>
    <w:rPr>
      <w:sz w:val="18"/>
      <w:szCs w:val="18"/>
    </w:rPr>
  </w:style>
  <w:style w:type="paragraph" w:customStyle="1" w:styleId="15">
    <w:name w:val="列出段落1"/>
    <w:basedOn w:val="1"/>
    <w:qFormat/>
    <w:uiPriority w:val="34"/>
    <w:pPr>
      <w:ind w:firstLine="420" w:firstLineChars="200"/>
    </w:pPr>
  </w:style>
  <w:style w:type="character" w:customStyle="1" w:styleId="16">
    <w:name w:val="页脚 字符"/>
    <w:basedOn w:val="11"/>
    <w:link w:val="6"/>
    <w:qFormat/>
    <w:uiPriority w:val="99"/>
    <w:rPr>
      <w:sz w:val="18"/>
      <w:szCs w:val="18"/>
    </w:rPr>
  </w:style>
  <w:style w:type="character" w:customStyle="1" w:styleId="17">
    <w:name w:val="页眉 字符"/>
    <w:basedOn w:val="11"/>
    <w:link w:val="7"/>
    <w:qFormat/>
    <w:uiPriority w:val="99"/>
    <w:rPr>
      <w:sz w:val="18"/>
      <w:szCs w:val="18"/>
    </w:rPr>
  </w:style>
  <w:style w:type="character" w:customStyle="1" w:styleId="18">
    <w:name w:val="im-content1"/>
    <w:basedOn w:val="11"/>
    <w:qFormat/>
    <w:uiPriority w:val="0"/>
    <w:rPr>
      <w:color w:val="333333"/>
    </w:rPr>
  </w:style>
  <w:style w:type="character" w:customStyle="1" w:styleId="19">
    <w:name w:val="批注文字 字符"/>
    <w:basedOn w:val="11"/>
    <w:link w:val="2"/>
    <w:qFormat/>
    <w:uiPriority w:val="99"/>
    <w:rPr>
      <w:kern w:val="2"/>
      <w:sz w:val="21"/>
      <w:szCs w:val="22"/>
    </w:rPr>
  </w:style>
  <w:style w:type="character" w:customStyle="1" w:styleId="20">
    <w:name w:val="批注主题 字符"/>
    <w:basedOn w:val="19"/>
    <w:link w:val="8"/>
    <w:semiHidden/>
    <w:qFormat/>
    <w:uiPriority w:val="99"/>
    <w:rPr>
      <w:b/>
      <w:bCs/>
      <w:kern w:val="2"/>
      <w:sz w:val="21"/>
      <w:szCs w:val="22"/>
    </w:rPr>
  </w:style>
  <w:style w:type="character" w:styleId="21">
    <w:name w:val="Placeholder Text"/>
    <w:basedOn w:val="11"/>
    <w:unhideWhenUsed/>
    <w:qFormat/>
    <w:uiPriority w:val="99"/>
    <w:rPr>
      <w:color w:val="808080"/>
    </w:rPr>
  </w:style>
  <w:style w:type="paragraph" w:styleId="22">
    <w:name w:val="List Paragraph"/>
    <w:basedOn w:val="1"/>
    <w:qFormat/>
    <w:uiPriority w:val="99"/>
    <w:pPr>
      <w:ind w:firstLine="420" w:firstLineChars="200"/>
    </w:pPr>
  </w:style>
  <w:style w:type="character" w:customStyle="1" w:styleId="23">
    <w:name w:val="font41"/>
    <w:qFormat/>
    <w:uiPriority w:val="0"/>
    <w:rPr>
      <w:rFonts w:hint="eastAsia" w:ascii="微软雅黑" w:hAnsi="微软雅黑" w:eastAsia="微软雅黑" w:cs="微软雅黑"/>
      <w:color w:val="000000"/>
      <w:sz w:val="20"/>
      <w:szCs w:val="20"/>
      <w:u w:val="none"/>
    </w:rPr>
  </w:style>
  <w:style w:type="character" w:customStyle="1" w:styleId="24">
    <w:name w:val="font51"/>
    <w:autoRedefine/>
    <w:qFormat/>
    <w:uiPriority w:val="0"/>
    <w:rPr>
      <w:rFonts w:hint="eastAsia" w:ascii="微软雅黑" w:hAnsi="微软雅黑" w:eastAsia="微软雅黑" w:cs="微软雅黑"/>
      <w:color w:val="000000"/>
      <w:sz w:val="20"/>
      <w:szCs w:val="20"/>
      <w:u w:val="none"/>
    </w:rPr>
  </w:style>
  <w:style w:type="character" w:customStyle="1" w:styleId="25">
    <w:name w:val="font71"/>
    <w:qFormat/>
    <w:uiPriority w:val="0"/>
    <w:rPr>
      <w:rFonts w:hint="eastAsia" w:ascii="宋体" w:hAnsi="宋体" w:eastAsia="宋体" w:cs="宋体"/>
      <w:color w:val="000000"/>
      <w:sz w:val="20"/>
      <w:szCs w:val="20"/>
      <w:u w:val="none"/>
    </w:rPr>
  </w:style>
  <w:style w:type="character" w:customStyle="1" w:styleId="26">
    <w:name w:val="font11"/>
    <w:qFormat/>
    <w:uiPriority w:val="99"/>
    <w:rPr>
      <w:rFonts w:ascii="Times New Roman" w:hAnsi="Times New Roman" w:cs="Times New Roman"/>
      <w:color w:val="000000"/>
      <w:sz w:val="24"/>
      <w:szCs w:val="24"/>
      <w:u w:val="none"/>
    </w:rPr>
  </w:style>
  <w:style w:type="character" w:customStyle="1" w:styleId="27">
    <w:name w:val="font81"/>
    <w:qFormat/>
    <w:uiPriority w:val="0"/>
    <w:rPr>
      <w:rFonts w:hint="eastAsia" w:ascii="微软雅黑" w:hAnsi="微软雅黑" w:eastAsia="微软雅黑" w:cs="微软雅黑"/>
      <w:b/>
      <w:bCs/>
      <w:i/>
      <w:iCs/>
      <w:color w:val="000000"/>
      <w:sz w:val="20"/>
      <w:szCs w:val="20"/>
      <w:u w:val="none"/>
    </w:rPr>
  </w:style>
  <w:style w:type="character" w:customStyle="1" w:styleId="28">
    <w:name w:val="fontstyle01"/>
    <w:autoRedefine/>
    <w:qFormat/>
    <w:uiPriority w:val="0"/>
    <w:rPr>
      <w:rFonts w:hint="eastAsia" w:ascii="宋体" w:hAnsi="宋体" w:eastAsia="宋体"/>
      <w:color w:val="000000"/>
      <w:sz w:val="24"/>
      <w:szCs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D80EBDF-9D3D-417D-AF2A-5A9DF2AC6E0C}">
  <ds:schemaRefs/>
</ds:datastoreItem>
</file>

<file path=docProps/app.xml><?xml version="1.0" encoding="utf-8"?>
<Properties xmlns="http://schemas.openxmlformats.org/officeDocument/2006/extended-properties" xmlns:vt="http://schemas.openxmlformats.org/officeDocument/2006/docPropsVTypes">
  <Template>Normal</Template>
  <Pages>5</Pages>
  <Words>4362</Words>
  <Characters>4466</Characters>
  <Lines>10</Lines>
  <Paragraphs>19</Paragraphs>
  <TotalTime>0</TotalTime>
  <ScaleCrop>false</ScaleCrop>
  <LinksUpToDate>false</LinksUpToDate>
  <CharactersWithSpaces>5109</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2023-02-27T06:51:00Z</dcterms:created>
  <dc:creator>user</dc:creator>
  <cp:lastModifiedBy>丁飞</cp:lastModifiedBy>
  <cp:lastPrinted>2023-05-18T05:45:00Z</cp:lastPrinted>
  <dcterms:modified xsi:type="dcterms:W3CDTF">2024-06-18T07:29:35Z</dcterms:modified>
  <cp:revision>48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1A5FC1BA814E445A81D5F9209D0F77EF_13</vt:lpwstr>
  </property>
</Properties>
</file>