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0" w:type="auto"/>
        <w:tblInd w:w="0" w:type="dxa"/>
        <w:tblLayout w:type="fixed"/>
        <w:tblCellMar>
          <w:top w:w="0" w:type="dxa"/>
          <w:left w:w="108" w:type="dxa"/>
          <w:bottom w:w="0" w:type="dxa"/>
          <w:right w:w="108" w:type="dxa"/>
        </w:tblCellMar>
      </w:tblPr>
      <w:tblGrid>
        <w:gridCol w:w="4928"/>
      </w:tblGrid>
      <w:tr>
        <w:tblPrEx>
          <w:tblCellMar>
            <w:top w:w="0" w:type="dxa"/>
            <w:left w:w="108" w:type="dxa"/>
            <w:bottom w:w="0" w:type="dxa"/>
            <w:right w:w="108" w:type="dxa"/>
          </w:tblCellMar>
        </w:tblPrEx>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highlight w:val="none"/>
              </w:rPr>
            </w:pPr>
            <w:r>
              <w:rPr>
                <w:rFonts w:hint="eastAsia" w:ascii="楷体_GB2312" w:hAnsi="宋体" w:eastAsia="楷体_GB2312" w:cs="宋体"/>
                <w:b/>
                <w:bCs/>
                <w:kern w:val="0"/>
                <w:sz w:val="18"/>
                <w:szCs w:val="18"/>
                <w:highlight w:val="none"/>
              </w:rPr>
              <w:t>安徽省立医院招标采购中心</w:t>
            </w:r>
          </w:p>
        </w:tc>
      </w:tr>
      <w:tr>
        <w:tblPrEx>
          <w:tblCellMar>
            <w:top w:w="0" w:type="dxa"/>
            <w:left w:w="108" w:type="dxa"/>
            <w:bottom w:w="0" w:type="dxa"/>
            <w:right w:w="108" w:type="dxa"/>
          </w:tblCellMar>
        </w:tblPrEx>
        <w:trPr>
          <w:trHeight w:val="1452" w:hRule="atLeast"/>
        </w:trPr>
        <w:tc>
          <w:tcPr>
            <w:tcW w:w="4928" w:type="dxa"/>
            <w:tcBorders>
              <w:top w:val="nil"/>
              <w:left w:val="single" w:color="auto" w:sz="4" w:space="0"/>
              <w:bottom w:val="single" w:color="auto" w:sz="4" w:space="0"/>
              <w:right w:val="single" w:color="auto" w:sz="4" w:space="0"/>
            </w:tcBorders>
            <w:noWrap/>
            <w:vAlign w:val="bottom"/>
          </w:tcPr>
          <w:p>
            <w:pPr>
              <w:widowControl/>
              <w:adjustRightInd w:val="0"/>
              <w:snapToGrid w:val="0"/>
              <w:jc w:val="left"/>
              <w:rPr>
                <w:rFonts w:hint="default" w:ascii="楷体_GB2312" w:hAnsi="宋体" w:eastAsia="楷体_GB2312" w:cs="宋体"/>
                <w:b/>
                <w:bCs/>
                <w:kern w:val="0"/>
                <w:sz w:val="18"/>
                <w:szCs w:val="18"/>
                <w:highlight w:val="none"/>
                <w:lang w:val="en-US" w:eastAsia="zh-CN"/>
              </w:rPr>
            </w:pPr>
            <w:r>
              <w:rPr>
                <w:rFonts w:hint="eastAsia" w:ascii="楷体_GB2312" w:hAnsi="宋体" w:eastAsia="楷体_GB2312" w:cs="宋体"/>
                <w:b/>
                <w:bCs/>
                <w:kern w:val="0"/>
                <w:sz w:val="18"/>
                <w:szCs w:val="18"/>
                <w:highlight w:val="none"/>
              </w:rPr>
              <w:t>合同编号：ZCZX</w:t>
            </w:r>
            <w:r>
              <w:rPr>
                <w:rFonts w:hint="eastAsia" w:ascii="楷体_GB2312" w:hAnsi="宋体" w:eastAsia="楷体_GB2312" w:cs="宋体"/>
                <w:b/>
                <w:bCs/>
                <w:kern w:val="0"/>
                <w:sz w:val="18"/>
                <w:szCs w:val="18"/>
                <w:highlight w:val="none"/>
                <w:lang w:val="en-US" w:eastAsia="zh-CN"/>
              </w:rPr>
              <w:fldChar w:fldCharType="begin"/>
            </w:r>
            <w:r>
              <w:rPr>
                <w:rFonts w:hint="eastAsia" w:ascii="楷体_GB2312" w:hAnsi="宋体" w:eastAsia="楷体_GB2312" w:cs="宋体"/>
                <w:b/>
                <w:bCs/>
                <w:kern w:val="0"/>
                <w:sz w:val="18"/>
                <w:szCs w:val="18"/>
                <w:highlight w:val="none"/>
                <w:lang w:val="en-US" w:eastAsia="zh-CN"/>
              </w:rPr>
              <w:instrText xml:space="preserve"> Time \@ "yyyy </w:instrText>
            </w:r>
            <w:r>
              <w:rPr>
                <w:rFonts w:hint="eastAsia" w:ascii="楷体_GB2312" w:hAnsi="宋体" w:eastAsia="楷体_GB2312" w:cs="宋体"/>
                <w:b/>
                <w:bCs/>
                <w:kern w:val="0"/>
                <w:sz w:val="18"/>
                <w:szCs w:val="18"/>
                <w:highlight w:val="none"/>
                <w:lang w:val="en-US" w:eastAsia="zh-CN"/>
              </w:rPr>
              <w:fldChar w:fldCharType="separate"/>
            </w:r>
            <w:r>
              <w:rPr>
                <w:rFonts w:hint="eastAsia" w:ascii="楷体_GB2312" w:hAnsi="宋体" w:eastAsia="楷体_GB2312" w:cs="宋体"/>
                <w:b/>
                <w:bCs/>
                <w:kern w:val="0"/>
                <w:sz w:val="18"/>
                <w:szCs w:val="18"/>
                <w:highlight w:val="none"/>
                <w:lang w:val="en-US" w:eastAsia="zh-CN"/>
              </w:rPr>
              <w:t xml:space="preserve">2024 </w:t>
            </w:r>
            <w:r>
              <w:rPr>
                <w:rFonts w:hint="eastAsia" w:ascii="楷体_GB2312" w:hAnsi="宋体" w:eastAsia="楷体_GB2312" w:cs="宋体"/>
                <w:b/>
                <w:bCs/>
                <w:kern w:val="0"/>
                <w:sz w:val="18"/>
                <w:szCs w:val="18"/>
                <w:highlight w:val="none"/>
                <w:lang w:val="en-US" w:eastAsia="zh-CN"/>
              </w:rPr>
              <w:fldChar w:fldCharType="end"/>
            </w:r>
            <w:r>
              <w:rPr>
                <w:rFonts w:hint="eastAsia" w:ascii="楷体_GB2312" w:hAnsi="宋体" w:eastAsia="楷体_GB2312" w:cs="宋体"/>
                <w:b/>
                <w:bCs/>
                <w:kern w:val="0"/>
                <w:sz w:val="18"/>
                <w:szCs w:val="18"/>
                <w:highlight w:val="none"/>
                <w:u w:val="single"/>
                <w:lang w:val="en-US" w:eastAsia="zh-CN"/>
              </w:rPr>
              <w:t xml:space="preserve">         </w:t>
            </w:r>
            <w:r>
              <w:rPr>
                <w:rFonts w:hint="eastAsia" w:ascii="宋体" w:hAnsi="宋体" w:eastAsia="宋体" w:cs="宋体"/>
                <w:b/>
                <w:bCs/>
                <w:kern w:val="0"/>
                <w:sz w:val="18"/>
                <w:szCs w:val="18"/>
                <w:highlight w:val="none"/>
                <w:lang w:val="en-US" w:eastAsia="zh-CN"/>
              </w:rPr>
              <w:t>－</w:t>
            </w:r>
            <w:r>
              <w:rPr>
                <w:rFonts w:hint="eastAsia" w:ascii="楷体_GB2312" w:hAnsi="宋体" w:eastAsia="楷体_GB2312" w:cs="宋体"/>
                <w:b/>
                <w:bCs/>
                <w:kern w:val="0"/>
                <w:sz w:val="18"/>
                <w:szCs w:val="18"/>
                <w:highlight w:val="none"/>
                <w:lang w:val="en-US" w:eastAsia="zh-CN"/>
              </w:rPr>
              <w:t>ZF</w:t>
            </w:r>
          </w:p>
          <w:p>
            <w:pPr>
              <w:widowControl/>
              <w:adjustRightInd w:val="0"/>
              <w:snapToGrid w:val="0"/>
              <w:jc w:val="left"/>
              <w:rPr>
                <w:rFonts w:hint="default" w:ascii="楷体_GB2312" w:hAnsi="宋体" w:eastAsia="楷体_GB2312" w:cs="宋体"/>
                <w:b/>
                <w:bCs/>
                <w:kern w:val="0"/>
                <w:sz w:val="18"/>
                <w:szCs w:val="18"/>
                <w:highlight w:val="none"/>
                <w:lang w:val="en-US" w:eastAsia="zh-CN"/>
              </w:rPr>
            </w:pPr>
            <w:r>
              <w:rPr>
                <w:rFonts w:hint="eastAsia" w:ascii="楷体_GB2312" w:hAnsi="宋体" w:eastAsia="楷体_GB2312" w:cs="宋体"/>
                <w:b/>
                <w:bCs/>
                <w:kern w:val="0"/>
                <w:sz w:val="18"/>
                <w:szCs w:val="18"/>
                <w:highlight w:val="none"/>
              </w:rPr>
              <w:t>计划类别：</w:t>
            </w:r>
          </w:p>
          <w:p>
            <w:pPr>
              <w:adjustRightInd w:val="0"/>
              <w:snapToGrid w:val="0"/>
              <w:jc w:val="left"/>
              <w:rPr>
                <w:rFonts w:hint="default" w:ascii="楷体_GB2312" w:hAnsi="宋体" w:eastAsia="楷体_GB2312" w:cs="宋体"/>
                <w:b/>
                <w:bCs/>
                <w:kern w:val="0"/>
                <w:sz w:val="18"/>
                <w:szCs w:val="18"/>
                <w:highlight w:val="none"/>
                <w:lang w:val="en-US" w:eastAsia="zh-CN"/>
              </w:rPr>
            </w:pPr>
            <w:r>
              <w:rPr>
                <w:rFonts w:hint="eastAsia" w:ascii="楷体_GB2312" w:hAnsi="宋体" w:eastAsia="楷体_GB2312" w:cs="宋体"/>
                <w:b/>
                <w:bCs/>
                <w:kern w:val="0"/>
                <w:sz w:val="18"/>
                <w:szCs w:val="18"/>
                <w:highlight w:val="none"/>
              </w:rPr>
              <w:t>采购方式：</w:t>
            </w:r>
          </w:p>
          <w:p>
            <w:pPr>
              <w:adjustRightInd w:val="0"/>
              <w:snapToGrid w:val="0"/>
              <w:jc w:val="left"/>
              <w:rPr>
                <w:rFonts w:ascii="楷体_GB2312" w:hAnsi="宋体" w:eastAsia="楷体_GB2312" w:cs="宋体"/>
                <w:b/>
                <w:bCs/>
                <w:kern w:val="0"/>
                <w:sz w:val="18"/>
                <w:szCs w:val="18"/>
                <w:highlight w:val="none"/>
              </w:rPr>
            </w:pPr>
            <w:r>
              <w:rPr>
                <w:rFonts w:hint="eastAsia" w:ascii="楷体_GB2312" w:hAnsi="宋体" w:eastAsia="楷体_GB2312" w:cs="宋体"/>
                <w:b/>
                <w:bCs/>
                <w:kern w:val="0"/>
                <w:sz w:val="18"/>
                <w:szCs w:val="18"/>
                <w:highlight w:val="none"/>
              </w:rPr>
              <w:t>计划编号：</w:t>
            </w:r>
          </w:p>
          <w:p>
            <w:pPr>
              <w:adjustRightInd w:val="0"/>
              <w:snapToGrid w:val="0"/>
              <w:jc w:val="left"/>
              <w:rPr>
                <w:rFonts w:ascii="楷体_GB2312" w:hAnsi="宋体" w:eastAsia="楷体_GB2312" w:cs="宋体"/>
                <w:b/>
                <w:bCs/>
                <w:kern w:val="0"/>
                <w:sz w:val="18"/>
                <w:szCs w:val="18"/>
                <w:highlight w:val="none"/>
              </w:rPr>
            </w:pPr>
            <w:r>
              <w:rPr>
                <w:rFonts w:hint="eastAsia" w:ascii="楷体_GB2312" w:hAnsi="宋体" w:eastAsia="楷体_GB2312" w:cs="宋体"/>
                <w:b/>
                <w:bCs/>
                <w:kern w:val="0"/>
                <w:sz w:val="18"/>
                <w:szCs w:val="18"/>
                <w:highlight w:val="none"/>
              </w:rPr>
              <w:t>申请科室：</w:t>
            </w:r>
          </w:p>
          <w:p>
            <w:pPr>
              <w:adjustRightInd w:val="0"/>
              <w:snapToGrid w:val="0"/>
              <w:jc w:val="left"/>
              <w:rPr>
                <w:rFonts w:hint="default" w:ascii="楷体_GB2312" w:hAnsi="宋体" w:eastAsia="楷体_GB2312" w:cs="宋体"/>
                <w:b/>
                <w:bCs/>
                <w:kern w:val="0"/>
                <w:sz w:val="18"/>
                <w:szCs w:val="18"/>
                <w:highlight w:val="none"/>
                <w:lang w:val="en-US" w:eastAsia="zh-CN"/>
              </w:rPr>
            </w:pPr>
            <w:r>
              <w:rPr>
                <w:rFonts w:hint="eastAsia" w:ascii="楷体_GB2312" w:hAnsi="宋体" w:eastAsia="楷体_GB2312" w:cs="宋体"/>
                <w:b/>
                <w:bCs/>
                <w:kern w:val="0"/>
                <w:sz w:val="18"/>
                <w:szCs w:val="18"/>
                <w:highlight w:val="none"/>
              </w:rPr>
              <w:t>移交部门：</w:t>
            </w:r>
          </w:p>
          <w:p>
            <w:pPr>
              <w:adjustRightInd w:val="0"/>
              <w:snapToGrid w:val="0"/>
              <w:rPr>
                <w:rFonts w:hint="default" w:ascii="楷体_GB2312" w:hAnsi="宋体" w:eastAsia="楷体_GB2312" w:cs="宋体"/>
                <w:b/>
                <w:bCs/>
                <w:kern w:val="0"/>
                <w:sz w:val="18"/>
                <w:szCs w:val="18"/>
                <w:highlight w:val="none"/>
                <w:lang w:val="en-US" w:eastAsia="zh-CN"/>
              </w:rPr>
            </w:pPr>
            <w:r>
              <w:rPr>
                <w:rFonts w:hint="eastAsia" w:ascii="楷体_GB2312" w:hAnsi="宋体" w:eastAsia="楷体_GB2312" w:cs="宋体"/>
                <w:b/>
                <w:bCs/>
                <w:kern w:val="0"/>
                <w:sz w:val="18"/>
                <w:szCs w:val="18"/>
                <w:highlight w:val="none"/>
                <w:lang w:val="en-US" w:eastAsia="zh-CN"/>
              </w:rPr>
              <w:t>开标（或磋商）</w:t>
            </w:r>
            <w:r>
              <w:rPr>
                <w:rFonts w:hint="eastAsia" w:ascii="楷体_GB2312" w:hAnsi="宋体" w:eastAsia="楷体_GB2312" w:cs="宋体"/>
                <w:b/>
                <w:bCs/>
                <w:kern w:val="0"/>
                <w:sz w:val="18"/>
                <w:szCs w:val="18"/>
                <w:highlight w:val="none"/>
              </w:rPr>
              <w:t>日期：</w:t>
            </w:r>
          </w:p>
          <w:p>
            <w:pPr>
              <w:adjustRightInd w:val="0"/>
              <w:snapToGrid w:val="0"/>
              <w:rPr>
                <w:rFonts w:ascii="宋体" w:hAnsi="宋体"/>
                <w:sz w:val="24"/>
                <w:highlight w:val="none"/>
              </w:rPr>
            </w:pPr>
            <w:r>
              <w:rPr>
                <w:rFonts w:hint="eastAsia" w:ascii="楷体_GB2312" w:hAnsi="宋体" w:eastAsia="楷体_GB2312" w:cs="宋体"/>
                <w:b/>
                <w:bCs/>
                <w:kern w:val="0"/>
                <w:sz w:val="18"/>
                <w:szCs w:val="18"/>
                <w:highlight w:val="none"/>
              </w:rPr>
              <w:t xml:space="preserve">是否已按三重一大事项上办公会： 是 </w:t>
            </w:r>
            <w:r>
              <w:rPr>
                <w:rFonts w:hint="eastAsia" w:ascii="宋体" w:hAnsi="宋体"/>
                <w:szCs w:val="21"/>
                <w:highlight w:val="none"/>
              </w:rPr>
              <w:sym w:font="Wingdings 2" w:char="00A3"/>
            </w:r>
            <w:r>
              <w:rPr>
                <w:rFonts w:hint="eastAsia" w:ascii="楷体_GB2312" w:hAnsi="宋体" w:eastAsia="楷体_GB2312" w:cs="宋体"/>
                <w:b/>
                <w:bCs/>
                <w:kern w:val="0"/>
                <w:sz w:val="18"/>
                <w:szCs w:val="18"/>
                <w:highlight w:val="none"/>
              </w:rPr>
              <w:t xml:space="preserve">   否</w:t>
            </w:r>
            <w:r>
              <w:rPr>
                <w:rFonts w:hint="eastAsia" w:ascii="宋体" w:hAnsi="宋体"/>
                <w:szCs w:val="21"/>
                <w:highlight w:val="none"/>
              </w:rPr>
              <w:t>□</w:t>
            </w:r>
          </w:p>
        </w:tc>
      </w:tr>
    </w:tbl>
    <w:p>
      <w:pPr>
        <w:pStyle w:val="4"/>
        <w:spacing w:after="0" w:line="0" w:lineRule="atLeast"/>
        <w:ind w:firstLine="0"/>
        <w:rPr>
          <w:rFonts w:eastAsia="宋体" w:cs="Arial"/>
          <w:highlight w:val="none"/>
        </w:rPr>
      </w:pPr>
    </w:p>
    <w:p>
      <w:pPr>
        <w:pStyle w:val="4"/>
        <w:spacing w:after="0" w:line="0" w:lineRule="atLeast"/>
        <w:ind w:firstLine="0"/>
        <w:rPr>
          <w:rFonts w:eastAsia="宋体" w:cs="Arial"/>
          <w:highlight w:val="none"/>
        </w:rPr>
      </w:pPr>
      <w:r>
        <w:rPr>
          <w:rFonts w:hint="eastAsia" w:eastAsia="宋体" w:cs="Arial"/>
          <w:highlight w:val="none"/>
        </w:rPr>
        <w:t>政府采购项目</w:t>
      </w:r>
      <w:r>
        <w:rPr>
          <w:rFonts w:eastAsia="宋体" w:cs="Arial"/>
          <w:highlight w:val="none"/>
        </w:rPr>
        <w:t>合同</w:t>
      </w:r>
    </w:p>
    <w:p>
      <w:pPr>
        <w:spacing w:before="156" w:beforeLines="50" w:beforeAutospacing="1" w:after="93" w:afterLines="30" w:afterAutospacing="1"/>
        <w:jc w:val="center"/>
        <w:rPr>
          <w:rFonts w:ascii="宋体" w:hAnsi="宋体"/>
          <w:b/>
          <w:sz w:val="24"/>
          <w:szCs w:val="27"/>
          <w:highlight w:val="none"/>
        </w:rPr>
      </w:pPr>
      <w:r>
        <w:rPr>
          <w:rFonts w:hint="eastAsia" w:ascii="宋体" w:hAnsi="宋体"/>
          <w:sz w:val="24"/>
          <w:szCs w:val="24"/>
          <w:highlight w:val="none"/>
        </w:rPr>
        <w:t xml:space="preserve">                                             </w:t>
      </w:r>
    </w:p>
    <w:p>
      <w:pPr>
        <w:spacing w:line="360" w:lineRule="auto"/>
        <w:contextualSpacing/>
        <w:jc w:val="left"/>
        <w:rPr>
          <w:rFonts w:ascii="宋体" w:hAnsi="宋体"/>
          <w:sz w:val="24"/>
          <w:szCs w:val="24"/>
          <w:highlight w:val="none"/>
        </w:rPr>
      </w:pPr>
      <w:r>
        <w:rPr>
          <w:rFonts w:hint="eastAsia" w:ascii="宋体" w:hAnsi="宋体"/>
          <w:sz w:val="24"/>
          <w:szCs w:val="24"/>
          <w:highlight w:val="none"/>
        </w:rPr>
        <w:t>甲方（</w:t>
      </w:r>
      <w:r>
        <w:rPr>
          <w:rFonts w:ascii="宋体" w:hAnsi="宋体"/>
          <w:sz w:val="24"/>
          <w:szCs w:val="24"/>
          <w:highlight w:val="none"/>
        </w:rPr>
        <w:t>买 方</w:t>
      </w:r>
      <w:r>
        <w:rPr>
          <w:rFonts w:hint="eastAsia" w:ascii="宋体" w:hAnsi="宋体"/>
          <w:sz w:val="24"/>
          <w:szCs w:val="24"/>
          <w:highlight w:val="none"/>
        </w:rPr>
        <w:t>）</w:t>
      </w:r>
      <w:r>
        <w:rPr>
          <w:rFonts w:ascii="宋体" w:hAnsi="宋体"/>
          <w:sz w:val="24"/>
          <w:szCs w:val="24"/>
          <w:highlight w:val="none"/>
        </w:rPr>
        <w:t>：</w:t>
      </w:r>
      <w:r>
        <w:rPr>
          <w:rFonts w:hint="eastAsia" w:ascii="宋体" w:hAnsi="宋体"/>
          <w:sz w:val="24"/>
          <w:szCs w:val="24"/>
          <w:highlight w:val="none"/>
        </w:rPr>
        <w:t xml:space="preserve">中国科大附一院（安徽省立医院）                       </w:t>
      </w:r>
    </w:p>
    <w:p>
      <w:pPr>
        <w:spacing w:line="360" w:lineRule="auto"/>
        <w:contextualSpacing/>
        <w:jc w:val="left"/>
        <w:rPr>
          <w:rFonts w:ascii="宋体" w:hAnsi="宋体"/>
          <w:sz w:val="24"/>
          <w:szCs w:val="24"/>
          <w:highlight w:val="none"/>
        </w:rPr>
      </w:pPr>
      <w:r>
        <w:rPr>
          <w:rFonts w:hint="eastAsia" w:ascii="宋体" w:hAnsi="宋体"/>
          <w:sz w:val="24"/>
          <w:szCs w:val="24"/>
          <w:highlight w:val="none"/>
        </w:rPr>
        <w:t>乙方（</w:t>
      </w:r>
      <w:r>
        <w:rPr>
          <w:rFonts w:ascii="宋体" w:hAnsi="宋体"/>
          <w:sz w:val="24"/>
          <w:szCs w:val="24"/>
          <w:highlight w:val="none"/>
        </w:rPr>
        <w:t>卖 方</w:t>
      </w:r>
      <w:r>
        <w:rPr>
          <w:rFonts w:hint="eastAsia" w:ascii="宋体" w:hAnsi="宋体"/>
          <w:sz w:val="24"/>
          <w:szCs w:val="24"/>
          <w:highlight w:val="none"/>
        </w:rPr>
        <w:t>）</w:t>
      </w:r>
      <w:r>
        <w:rPr>
          <w:rFonts w:ascii="宋体" w:hAnsi="宋体"/>
          <w:sz w:val="24"/>
          <w:szCs w:val="24"/>
          <w:highlight w:val="none"/>
        </w:rPr>
        <w:t>：</w:t>
      </w:r>
      <w:r>
        <w:rPr>
          <w:rFonts w:hint="eastAsia" w:ascii="宋体" w:hAnsi="宋体"/>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宋体" w:hAnsi="宋体"/>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contextualSpacing/>
        <w:textAlignment w:val="auto"/>
        <w:rPr>
          <w:rFonts w:ascii="宋体" w:hAnsi="宋体"/>
          <w:sz w:val="24"/>
          <w:szCs w:val="24"/>
          <w:highlight w:val="none"/>
        </w:rPr>
      </w:pPr>
      <w:r>
        <w:rPr>
          <w:rFonts w:ascii="宋体" w:hAnsi="宋体"/>
          <w:sz w:val="24"/>
          <w:szCs w:val="24"/>
          <w:highlight w:val="none"/>
        </w:rPr>
        <w:t>甲方通过</w:t>
      </w:r>
      <w:r>
        <w:rPr>
          <w:rFonts w:hint="eastAsia" w:ascii="宋体" w:hAnsi="宋体"/>
          <w:color w:val="000000"/>
          <w:sz w:val="24"/>
          <w:szCs w:val="24"/>
          <w:highlight w:val="none"/>
          <w:u w:val="single"/>
          <w:lang w:val="en-US" w:eastAsia="zh-CN"/>
        </w:rPr>
        <w:t xml:space="preserve">                        </w:t>
      </w:r>
      <w:r>
        <w:rPr>
          <w:rFonts w:ascii="宋体" w:hAnsi="宋体"/>
          <w:sz w:val="24"/>
          <w:szCs w:val="24"/>
          <w:highlight w:val="none"/>
        </w:rPr>
        <w:t>组织的</w:t>
      </w:r>
      <w:r>
        <w:rPr>
          <w:rFonts w:hint="eastAsia" w:ascii="宋体" w:hAnsi="宋体"/>
          <w:sz w:val="24"/>
          <w:szCs w:val="24"/>
          <w:highlight w:val="none"/>
        </w:rPr>
        <w:t>招标</w:t>
      </w:r>
      <w:r>
        <w:rPr>
          <w:rFonts w:ascii="宋体" w:hAnsi="宋体"/>
          <w:sz w:val="24"/>
          <w:szCs w:val="24"/>
          <w:highlight w:val="none"/>
        </w:rPr>
        <w:t>采购活动，经评标委员会的评审，决定将本项目采购合同授予乙方。为进一步明确双方的责任，确保合同的顺利履行，根据《中华人民共和国政府采购法》、《中华人民共和国</w:t>
      </w:r>
      <w:r>
        <w:rPr>
          <w:rFonts w:hint="eastAsia" w:ascii="宋体" w:hAnsi="宋体"/>
          <w:sz w:val="24"/>
          <w:szCs w:val="24"/>
          <w:highlight w:val="none"/>
        </w:rPr>
        <w:t>民法典</w:t>
      </w:r>
      <w:r>
        <w:rPr>
          <w:rFonts w:ascii="宋体" w:hAnsi="宋体"/>
          <w:sz w:val="24"/>
          <w:szCs w:val="24"/>
          <w:highlight w:val="none"/>
        </w:rPr>
        <w:t>》及有关法律规定，遵循平等、自愿、公平和诚实信用的原则，甲乙双方协商一致同意按如下条款签订本合同</w:t>
      </w:r>
      <w:r>
        <w:rPr>
          <w:rFonts w:hint="eastAsia" w:ascii="宋体" w:hAnsi="宋体"/>
          <w:sz w:val="24"/>
          <w:szCs w:val="24"/>
          <w:highlight w:val="none"/>
        </w:rPr>
        <w:t>。</w:t>
      </w:r>
    </w:p>
    <w:p>
      <w:pPr>
        <w:spacing w:line="360" w:lineRule="auto"/>
        <w:ind w:firstLine="482" w:firstLineChars="200"/>
        <w:contextualSpacing/>
        <w:jc w:val="left"/>
        <w:rPr>
          <w:rFonts w:ascii="宋体" w:hAnsi="宋体"/>
          <w:sz w:val="24"/>
          <w:szCs w:val="24"/>
          <w:highlight w:val="none"/>
        </w:rPr>
      </w:pPr>
      <w:r>
        <w:rPr>
          <w:rFonts w:ascii="宋体" w:hAnsi="宋体"/>
          <w:b/>
          <w:sz w:val="24"/>
          <w:szCs w:val="24"/>
          <w:highlight w:val="none"/>
        </w:rPr>
        <w:t>一、货物的名称、规格型号、数量和价格</w:t>
      </w:r>
      <w:r>
        <w:rPr>
          <w:rFonts w:hint="eastAsia" w:ascii="宋体" w:hAnsi="宋体"/>
          <w:b/>
          <w:sz w:val="24"/>
          <w:szCs w:val="24"/>
          <w:highlight w:val="none"/>
        </w:rPr>
        <w:t xml:space="preserve">                     </w:t>
      </w:r>
      <w:r>
        <w:rPr>
          <w:rFonts w:ascii="宋体" w:hAnsi="宋体"/>
          <w:sz w:val="24"/>
          <w:szCs w:val="24"/>
          <w:highlight w:val="none"/>
        </w:rPr>
        <w:t>单位：元</w:t>
      </w:r>
    </w:p>
    <w:tbl>
      <w:tblPr>
        <w:tblStyle w:val="11"/>
        <w:tblW w:w="10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1031"/>
        <w:gridCol w:w="638"/>
        <w:gridCol w:w="693"/>
        <w:gridCol w:w="820"/>
        <w:gridCol w:w="1418"/>
        <w:gridCol w:w="1134"/>
        <w:gridCol w:w="709"/>
        <w:gridCol w:w="814"/>
        <w:gridCol w:w="1158"/>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95" w:type="dxa"/>
            <w:gridSpan w:val="2"/>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招标项目</w:t>
            </w:r>
            <w:r>
              <w:rPr>
                <w:rFonts w:hint="eastAsia" w:ascii="黑体" w:hAnsi="黑体" w:eastAsia="黑体"/>
                <w:sz w:val="20"/>
                <w:szCs w:val="20"/>
                <w:highlight w:val="none"/>
                <w:lang w:val="en-US" w:eastAsia="zh-CN"/>
              </w:rPr>
              <w:t>的</w:t>
            </w:r>
            <w:r>
              <w:rPr>
                <w:rFonts w:hint="eastAsia" w:ascii="黑体" w:hAnsi="黑体" w:eastAsia="黑体"/>
                <w:sz w:val="20"/>
                <w:szCs w:val="20"/>
                <w:highlight w:val="none"/>
              </w:rPr>
              <w:t>名称</w:t>
            </w:r>
          </w:p>
        </w:tc>
        <w:tc>
          <w:tcPr>
            <w:tcW w:w="8618" w:type="dxa"/>
            <w:gridSpan w:val="9"/>
            <w:vAlign w:val="center"/>
          </w:tcPr>
          <w:p>
            <w:pPr>
              <w:jc w:val="left"/>
              <w:rPr>
                <w:rFonts w:ascii="黑体" w:hAnsi="黑体" w:eastAsia="黑体"/>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4" w:type="dxa"/>
            <w:vAlign w:val="center"/>
          </w:tcPr>
          <w:p>
            <w:pPr>
              <w:jc w:val="center"/>
              <w:rPr>
                <w:rFonts w:ascii="黑体" w:hAnsi="黑体" w:eastAsia="黑体"/>
                <w:sz w:val="20"/>
                <w:szCs w:val="20"/>
                <w:highlight w:val="none"/>
              </w:rPr>
            </w:pPr>
            <w:r>
              <w:rPr>
                <w:rFonts w:hint="eastAsia" w:ascii="黑体" w:hAnsi="黑体" w:eastAsia="黑体"/>
                <w:color w:val="000000"/>
                <w:sz w:val="20"/>
                <w:szCs w:val="20"/>
                <w:highlight w:val="none"/>
                <w:lang w:val="en-US" w:eastAsia="zh-CN"/>
              </w:rPr>
              <w:t>招标中产品的名称</w:t>
            </w:r>
          </w:p>
        </w:tc>
        <w:tc>
          <w:tcPr>
            <w:tcW w:w="1031" w:type="dxa"/>
            <w:vAlign w:val="center"/>
          </w:tcPr>
          <w:p>
            <w:pPr>
              <w:jc w:val="center"/>
              <w:rPr>
                <w:rFonts w:hint="eastAsia" w:ascii="黑体" w:hAnsi="黑体" w:eastAsia="黑体"/>
                <w:sz w:val="20"/>
                <w:szCs w:val="20"/>
                <w:highlight w:val="none"/>
              </w:rPr>
            </w:pPr>
            <w:r>
              <w:rPr>
                <w:rFonts w:hint="eastAsia" w:ascii="黑体" w:hAnsi="黑体" w:eastAsia="黑体"/>
                <w:sz w:val="20"/>
                <w:szCs w:val="20"/>
                <w:highlight w:val="none"/>
                <w:lang w:val="en-US" w:eastAsia="zh-CN"/>
              </w:rPr>
              <w:t>产品的</w:t>
            </w:r>
            <w:r>
              <w:rPr>
                <w:rFonts w:hint="eastAsia" w:ascii="黑体" w:hAnsi="黑体" w:eastAsia="黑体"/>
                <w:sz w:val="20"/>
                <w:szCs w:val="20"/>
                <w:highlight w:val="none"/>
              </w:rPr>
              <w:t>注册证名称</w:t>
            </w:r>
          </w:p>
        </w:tc>
        <w:tc>
          <w:tcPr>
            <w:tcW w:w="638" w:type="dxa"/>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品牌</w:t>
            </w:r>
          </w:p>
        </w:tc>
        <w:tc>
          <w:tcPr>
            <w:tcW w:w="693" w:type="dxa"/>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产地</w:t>
            </w:r>
          </w:p>
        </w:tc>
        <w:tc>
          <w:tcPr>
            <w:tcW w:w="820" w:type="dxa"/>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规格型号</w:t>
            </w:r>
          </w:p>
        </w:tc>
        <w:tc>
          <w:tcPr>
            <w:tcW w:w="1418" w:type="dxa"/>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注册证号及起止日期</w:t>
            </w:r>
          </w:p>
        </w:tc>
        <w:tc>
          <w:tcPr>
            <w:tcW w:w="1134" w:type="dxa"/>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配置清单</w:t>
            </w:r>
          </w:p>
        </w:tc>
        <w:tc>
          <w:tcPr>
            <w:tcW w:w="709" w:type="dxa"/>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单位</w:t>
            </w:r>
          </w:p>
        </w:tc>
        <w:tc>
          <w:tcPr>
            <w:tcW w:w="814" w:type="dxa"/>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数量</w:t>
            </w:r>
          </w:p>
        </w:tc>
        <w:tc>
          <w:tcPr>
            <w:tcW w:w="1158" w:type="dxa"/>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单价（元）</w:t>
            </w:r>
          </w:p>
        </w:tc>
        <w:tc>
          <w:tcPr>
            <w:tcW w:w="1234" w:type="dxa"/>
            <w:vAlign w:val="center"/>
          </w:tcPr>
          <w:p>
            <w:pPr>
              <w:jc w:val="center"/>
              <w:rPr>
                <w:rFonts w:ascii="黑体" w:hAnsi="黑体" w:eastAsia="黑体"/>
                <w:sz w:val="20"/>
                <w:szCs w:val="20"/>
                <w:highlight w:val="none"/>
              </w:rPr>
            </w:pPr>
            <w:r>
              <w:rPr>
                <w:rFonts w:hint="eastAsia" w:ascii="黑体" w:hAnsi="黑体" w:eastAsia="黑体"/>
                <w:sz w:val="20"/>
                <w:szCs w:val="20"/>
                <w:highlight w:val="none"/>
              </w:rPr>
              <w:t>生产厂商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4" w:type="dxa"/>
            <w:vAlign w:val="center"/>
          </w:tcPr>
          <w:p>
            <w:pPr>
              <w:rPr>
                <w:rFonts w:ascii="宋体" w:hAnsi="宋体"/>
                <w:bCs/>
                <w:sz w:val="20"/>
                <w:szCs w:val="20"/>
                <w:highlight w:val="none"/>
              </w:rPr>
            </w:pPr>
          </w:p>
        </w:tc>
        <w:tc>
          <w:tcPr>
            <w:tcW w:w="1031" w:type="dxa"/>
            <w:vAlign w:val="center"/>
          </w:tcPr>
          <w:p>
            <w:pPr>
              <w:rPr>
                <w:rFonts w:ascii="宋体" w:hAnsi="宋体"/>
                <w:bCs/>
                <w:sz w:val="20"/>
                <w:szCs w:val="20"/>
                <w:highlight w:val="none"/>
              </w:rPr>
            </w:pPr>
          </w:p>
        </w:tc>
        <w:tc>
          <w:tcPr>
            <w:tcW w:w="638" w:type="dxa"/>
            <w:vAlign w:val="center"/>
          </w:tcPr>
          <w:p>
            <w:pPr>
              <w:rPr>
                <w:rFonts w:ascii="宋体" w:hAnsi="宋体"/>
                <w:bCs/>
                <w:sz w:val="20"/>
                <w:szCs w:val="20"/>
                <w:highlight w:val="none"/>
              </w:rPr>
            </w:pPr>
          </w:p>
        </w:tc>
        <w:tc>
          <w:tcPr>
            <w:tcW w:w="693" w:type="dxa"/>
            <w:vAlign w:val="center"/>
          </w:tcPr>
          <w:p>
            <w:pPr>
              <w:rPr>
                <w:rFonts w:ascii="宋体" w:hAnsi="宋体"/>
                <w:bCs/>
                <w:sz w:val="20"/>
                <w:szCs w:val="20"/>
                <w:highlight w:val="none"/>
              </w:rPr>
            </w:pPr>
          </w:p>
        </w:tc>
        <w:tc>
          <w:tcPr>
            <w:tcW w:w="820" w:type="dxa"/>
            <w:vAlign w:val="center"/>
          </w:tcPr>
          <w:p>
            <w:pPr>
              <w:jc w:val="center"/>
              <w:rPr>
                <w:rFonts w:ascii="宋体" w:hAnsi="宋体"/>
                <w:bCs/>
                <w:sz w:val="20"/>
                <w:szCs w:val="20"/>
                <w:highlight w:val="none"/>
              </w:rPr>
            </w:pPr>
          </w:p>
        </w:tc>
        <w:tc>
          <w:tcPr>
            <w:tcW w:w="1418" w:type="dxa"/>
            <w:vAlign w:val="center"/>
          </w:tcPr>
          <w:p>
            <w:pPr>
              <w:jc w:val="center"/>
              <w:rPr>
                <w:rFonts w:ascii="宋体" w:hAnsi="宋体"/>
                <w:bCs/>
                <w:sz w:val="20"/>
                <w:szCs w:val="20"/>
                <w:highlight w:val="none"/>
              </w:rPr>
            </w:pPr>
          </w:p>
        </w:tc>
        <w:tc>
          <w:tcPr>
            <w:tcW w:w="1134" w:type="dxa"/>
            <w:vAlign w:val="center"/>
          </w:tcPr>
          <w:p>
            <w:pPr>
              <w:jc w:val="center"/>
              <w:rPr>
                <w:rFonts w:ascii="宋体" w:hAnsi="宋体"/>
                <w:bCs/>
                <w:sz w:val="20"/>
                <w:szCs w:val="20"/>
                <w:highlight w:val="none"/>
              </w:rPr>
            </w:pPr>
          </w:p>
        </w:tc>
        <w:tc>
          <w:tcPr>
            <w:tcW w:w="709" w:type="dxa"/>
            <w:vAlign w:val="center"/>
          </w:tcPr>
          <w:p>
            <w:pPr>
              <w:rPr>
                <w:rFonts w:ascii="宋体" w:hAnsi="宋体"/>
                <w:sz w:val="20"/>
                <w:szCs w:val="20"/>
                <w:highlight w:val="none"/>
              </w:rPr>
            </w:pPr>
          </w:p>
        </w:tc>
        <w:tc>
          <w:tcPr>
            <w:tcW w:w="814" w:type="dxa"/>
            <w:vAlign w:val="center"/>
          </w:tcPr>
          <w:p>
            <w:pPr>
              <w:rPr>
                <w:rFonts w:ascii="宋体" w:hAnsi="宋体"/>
                <w:sz w:val="20"/>
                <w:szCs w:val="20"/>
                <w:highlight w:val="none"/>
              </w:rPr>
            </w:pPr>
          </w:p>
        </w:tc>
        <w:tc>
          <w:tcPr>
            <w:tcW w:w="1158" w:type="dxa"/>
            <w:vAlign w:val="center"/>
          </w:tcPr>
          <w:p>
            <w:pPr>
              <w:jc w:val="center"/>
              <w:rPr>
                <w:rFonts w:ascii="宋体" w:hAnsi="宋体"/>
                <w:bCs/>
                <w:sz w:val="20"/>
                <w:szCs w:val="20"/>
                <w:highlight w:val="none"/>
              </w:rPr>
            </w:pPr>
          </w:p>
        </w:tc>
        <w:tc>
          <w:tcPr>
            <w:tcW w:w="1234" w:type="dxa"/>
            <w:vAlign w:val="center"/>
          </w:tcPr>
          <w:p>
            <w:pPr>
              <w:jc w:val="center"/>
              <w:rPr>
                <w:rFonts w:ascii="宋体" w:hAnsi="宋体"/>
                <w:bCs/>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713" w:type="dxa"/>
            <w:gridSpan w:val="11"/>
            <w:vAlign w:val="center"/>
          </w:tcPr>
          <w:p>
            <w:pPr>
              <w:rPr>
                <w:rFonts w:ascii="宋体" w:hAnsi="宋体"/>
                <w:bCs/>
                <w:szCs w:val="21"/>
                <w:highlight w:val="none"/>
              </w:rPr>
            </w:pPr>
            <w:r>
              <w:rPr>
                <w:rFonts w:hint="eastAsia" w:ascii="宋体" w:hAnsi="宋体"/>
                <w:szCs w:val="21"/>
                <w:highlight w:val="none"/>
              </w:rPr>
              <w:t>合计人民币金额（大写）：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713" w:type="dxa"/>
            <w:gridSpan w:val="11"/>
            <w:vAlign w:val="center"/>
          </w:tcPr>
          <w:p>
            <w:pPr>
              <w:rPr>
                <w:rFonts w:ascii="宋体" w:hAnsi="宋体"/>
                <w:bCs/>
                <w:szCs w:val="21"/>
                <w:highlight w:val="none"/>
              </w:rPr>
            </w:pPr>
            <w:r>
              <w:rPr>
                <w:rFonts w:hint="eastAsia" w:ascii="宋体" w:hAnsi="宋体"/>
                <w:szCs w:val="21"/>
                <w:highlight w:val="none"/>
              </w:rPr>
              <w:t>合计人民币金额（小写）：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713" w:type="dxa"/>
            <w:gridSpan w:val="11"/>
            <w:vAlign w:val="center"/>
          </w:tcPr>
          <w:p>
            <w:pPr>
              <w:rPr>
                <w:rFonts w:ascii="宋体" w:hAnsi="宋体"/>
                <w:szCs w:val="21"/>
                <w:highlight w:val="none"/>
              </w:rPr>
            </w:pPr>
            <w:r>
              <w:rPr>
                <w:rFonts w:hint="eastAsia" w:ascii="宋体" w:hAnsi="宋体"/>
                <w:szCs w:val="21"/>
                <w:highlight w:val="none"/>
              </w:rPr>
              <w:t>配套耗材/配件：□无/ □有，详见附表</w:t>
            </w:r>
          </w:p>
          <w:p>
            <w:pPr>
              <w:rPr>
                <w:rFonts w:ascii="宋体" w:hAnsi="宋体"/>
                <w:b/>
                <w:szCs w:val="21"/>
                <w:highlight w:val="none"/>
              </w:rPr>
            </w:pPr>
            <w:r>
              <w:rPr>
                <w:rFonts w:hint="eastAsia" w:ascii="宋体" w:hAnsi="宋体" w:cs="宋体"/>
                <w:b/>
                <w:kern w:val="0"/>
                <w:sz w:val="24"/>
                <w:highlight w:val="none"/>
              </w:rPr>
              <w:t>注：</w:t>
            </w:r>
            <w:r>
              <w:rPr>
                <w:rFonts w:ascii="宋体" w:hAnsi="宋体" w:cs="宋体"/>
                <w:b/>
                <w:kern w:val="0"/>
                <w:sz w:val="24"/>
                <w:highlight w:val="none"/>
              </w:rPr>
              <w:t>上述产品</w:t>
            </w:r>
            <w:r>
              <w:rPr>
                <w:rFonts w:hint="eastAsia" w:ascii="宋体" w:hAnsi="宋体" w:cs="宋体"/>
                <w:b/>
                <w:kern w:val="0"/>
                <w:sz w:val="24"/>
                <w:highlight w:val="none"/>
              </w:rPr>
              <w:t>价格</w:t>
            </w:r>
            <w:r>
              <w:rPr>
                <w:rFonts w:ascii="宋体" w:hAnsi="宋体" w:cs="宋体"/>
                <w:b/>
                <w:kern w:val="0"/>
                <w:sz w:val="24"/>
                <w:highlight w:val="none"/>
              </w:rPr>
              <w:t>含产品生产、运输（送达至甲方指定地点并下货）、安装、调试、检验</w:t>
            </w:r>
            <w:r>
              <w:rPr>
                <w:rFonts w:hint="eastAsia" w:ascii="宋体" w:hAnsi="宋体" w:cs="宋体"/>
                <w:b/>
                <w:kern w:val="0"/>
                <w:sz w:val="24"/>
                <w:highlight w:val="none"/>
                <w:lang w:eastAsia="zh-CN"/>
              </w:rPr>
              <w:t>、</w:t>
            </w:r>
            <w:r>
              <w:rPr>
                <w:rFonts w:ascii="宋体" w:hAnsi="宋体" w:cs="宋体"/>
                <w:b/>
                <w:kern w:val="0"/>
                <w:sz w:val="24"/>
                <w:highlight w:val="none"/>
              </w:rPr>
              <w:t>售后服务</w:t>
            </w:r>
            <w:r>
              <w:rPr>
                <w:rFonts w:hint="eastAsia" w:ascii="宋体" w:hAnsi="宋体" w:cs="宋体"/>
                <w:b/>
                <w:kern w:val="0"/>
                <w:sz w:val="24"/>
                <w:highlight w:val="none"/>
                <w:lang w:val="en-US" w:eastAsia="zh-CN"/>
              </w:rPr>
              <w:t>及</w:t>
            </w:r>
            <w:r>
              <w:rPr>
                <w:rFonts w:hint="eastAsia" w:ascii="宋体" w:hAnsi="宋体" w:cs="宋体"/>
                <w:b/>
                <w:bCs w:val="0"/>
                <w:kern w:val="0"/>
                <w:sz w:val="24"/>
                <w:szCs w:val="24"/>
                <w:highlight w:val="none"/>
                <w:lang w:val="en-US" w:eastAsia="zh-CN"/>
              </w:rPr>
              <w:t>为履行合同而产生的</w:t>
            </w:r>
            <w:r>
              <w:rPr>
                <w:rFonts w:hint="eastAsia" w:ascii="宋体" w:hAnsi="宋体"/>
                <w:b/>
                <w:bCs w:val="0"/>
                <w:color w:val="000000"/>
                <w:sz w:val="24"/>
                <w:szCs w:val="24"/>
                <w:highlight w:val="none"/>
              </w:rPr>
              <w:t>人工费、管理费、利润、税金</w:t>
            </w:r>
            <w:r>
              <w:rPr>
                <w:rFonts w:hint="eastAsia" w:ascii="宋体" w:hAnsi="宋体"/>
                <w:b/>
                <w:bCs w:val="0"/>
                <w:color w:val="000000"/>
                <w:sz w:val="24"/>
                <w:szCs w:val="24"/>
                <w:highlight w:val="none"/>
                <w:lang w:val="en-US" w:eastAsia="zh-CN"/>
              </w:rPr>
              <w:t>等</w:t>
            </w:r>
            <w:r>
              <w:rPr>
                <w:rFonts w:hint="eastAsia" w:ascii="宋体" w:hAnsi="宋体" w:cs="宋体"/>
                <w:b/>
                <w:kern w:val="0"/>
                <w:sz w:val="24"/>
                <w:highlight w:val="none"/>
                <w:lang w:val="en-US" w:eastAsia="zh-CN"/>
              </w:rPr>
              <w:t>全部</w:t>
            </w:r>
            <w:r>
              <w:rPr>
                <w:rFonts w:ascii="宋体" w:hAnsi="宋体" w:cs="宋体"/>
                <w:b/>
                <w:kern w:val="0"/>
                <w:sz w:val="24"/>
                <w:highlight w:val="none"/>
              </w:rPr>
              <w:t>费用。</w:t>
            </w:r>
          </w:p>
        </w:tc>
      </w:tr>
    </w:tbl>
    <w:p>
      <w:pPr>
        <w:rPr>
          <w:highlight w:val="none"/>
        </w:rPr>
      </w:pP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eastAsia" w:eastAsia="宋体"/>
          <w:b/>
          <w:highlight w:val="none"/>
          <w:lang w:eastAsia="zh-CN"/>
        </w:rPr>
      </w:pPr>
      <w:r>
        <w:rPr>
          <w:rStyle w:val="16"/>
          <w:rFonts w:hint="default"/>
          <w:b/>
          <w:highlight w:val="none"/>
        </w:rPr>
        <w:t>二、组成合同的文件</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组成本合同的文件包括：</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(1) 采购文件及答疑、更正公告</w:t>
      </w:r>
      <w:r>
        <w:rPr>
          <w:rStyle w:val="16"/>
          <w:rFonts w:hint="eastAsia"/>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(2) 采购文件标准文本中的“合同条款”；</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(3) 中标或成交公告；</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(4) 乙方提交的投标</w:t>
      </w:r>
      <w:r>
        <w:rPr>
          <w:rStyle w:val="16"/>
          <w:rFonts w:hint="eastAsia"/>
          <w:highlight w:val="none"/>
          <w:lang w:eastAsia="zh-CN"/>
        </w:rPr>
        <w:t>（</w:t>
      </w:r>
      <w:r>
        <w:rPr>
          <w:rStyle w:val="16"/>
          <w:rFonts w:hint="eastAsia"/>
          <w:highlight w:val="none"/>
          <w:lang w:val="en-US" w:eastAsia="zh-CN"/>
        </w:rPr>
        <w:t>或磋商等</w:t>
      </w:r>
      <w:r>
        <w:rPr>
          <w:rStyle w:val="16"/>
          <w:rFonts w:hint="eastAsia"/>
          <w:highlight w:val="none"/>
          <w:lang w:eastAsia="zh-CN"/>
        </w:rPr>
        <w:t>）</w:t>
      </w:r>
      <w:r>
        <w:rPr>
          <w:rStyle w:val="16"/>
          <w:rFonts w:hint="default"/>
          <w:highlight w:val="none"/>
        </w:rPr>
        <w:t>文件及书面承诺函；</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(5) 双方另行签订的补充协议。</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Fonts w:hint="default" w:ascii="宋体" w:hAnsi="宋体" w:eastAsia="宋体"/>
          <w:sz w:val="24"/>
          <w:szCs w:val="24"/>
          <w:highlight w:val="none"/>
          <w:lang w:val="en-US" w:eastAsia="zh-CN"/>
        </w:rPr>
      </w:pPr>
      <w:r>
        <w:rPr>
          <w:rStyle w:val="16"/>
          <w:rFonts w:hint="default"/>
          <w:b/>
          <w:highlight w:val="none"/>
        </w:rPr>
        <w:t>三、</w:t>
      </w:r>
      <w:r>
        <w:rPr>
          <w:rStyle w:val="16"/>
          <w:rFonts w:hint="eastAsia"/>
          <w:b/>
          <w:highlight w:val="none"/>
          <w:lang w:val="en-US" w:eastAsia="zh-CN"/>
        </w:rPr>
        <w:t>合同金额及支付方式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default"/>
          <w:highlight w:val="none"/>
          <w:lang w:val="en-US" w:eastAsia="zh-CN"/>
        </w:rPr>
      </w:pPr>
      <w:r>
        <w:rPr>
          <w:rStyle w:val="16"/>
          <w:rFonts w:hint="eastAsia"/>
          <w:highlight w:val="none"/>
          <w:lang w:val="en-US" w:eastAsia="zh-CN"/>
        </w:rPr>
        <w:t>1、</w:t>
      </w:r>
      <w:r>
        <w:rPr>
          <w:rStyle w:val="16"/>
          <w:rFonts w:hint="default"/>
          <w:highlight w:val="none"/>
          <w:lang w:val="en-US" w:eastAsia="zh-CN"/>
        </w:rPr>
        <w:t>本合同的总金额为</w:t>
      </w:r>
      <w:r>
        <w:rPr>
          <w:rStyle w:val="16"/>
          <w:rFonts w:hint="eastAsia"/>
          <w:highlight w:val="none"/>
          <w:lang w:val="en-US" w:eastAsia="zh-CN"/>
        </w:rPr>
        <w:t>人民币</w:t>
      </w:r>
      <w:r>
        <w:rPr>
          <w:rStyle w:val="16"/>
          <w:rFonts w:hint="eastAsia"/>
          <w:highlight w:val="none"/>
          <w:u w:val="single"/>
          <w:lang w:val="en-US" w:eastAsia="zh-CN"/>
        </w:rPr>
        <w:t xml:space="preserve">     </w:t>
      </w:r>
      <w:r>
        <w:rPr>
          <w:rStyle w:val="16"/>
          <w:rFonts w:hint="default"/>
          <w:highlight w:val="none"/>
          <w:lang w:val="en-US" w:eastAsia="zh-CN"/>
        </w:rPr>
        <w:t>元(人民币大写：</w:t>
      </w:r>
      <w:r>
        <w:rPr>
          <w:rStyle w:val="16"/>
          <w:rFonts w:hint="eastAsia"/>
          <w:highlight w:val="none"/>
          <w:u w:val="single"/>
          <w:lang w:val="en-US" w:eastAsia="zh-CN"/>
        </w:rPr>
        <w:t xml:space="preserve">     </w:t>
      </w:r>
      <w:r>
        <w:rPr>
          <w:rStyle w:val="16"/>
          <w:rFonts w:hint="default"/>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2、本项目符合支付条件后，乙方申请付款（含预付款）时，应向甲方开具合法有效符合甲方要求的税务发票，依法应开具增值税专用发票的，乙方应开具对应金额增值税专用发票。乙方未依约提供发票的，甲方可拒绝支付对应价款。甲方应在收到发票后 7 个工作日内将对应资金支付到乙方账户。</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3、本合同生效后，甲方可根据自身需要和本合同中采购项目的实际情况选择下列方式之一执行本合同具体的支付方式，乙方不得提出异议：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（1）一次性支付方式的：货到安装验收合格，提供产品的使用、操作及维修人员的培训，并能独立操作且使用部门签字确认后，甲方应当支付全部货款；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default"/>
          <w:highlight w:val="none"/>
          <w:lang w:val="en-US" w:eastAsia="zh-CN"/>
        </w:rPr>
      </w:pPr>
      <w:r>
        <w:rPr>
          <w:rStyle w:val="16"/>
          <w:rFonts w:hint="eastAsia"/>
          <w:highlight w:val="none"/>
          <w:lang w:val="en-US" w:eastAsia="zh-CN"/>
        </w:rPr>
        <w:t>（2）支付预付款方式的：甲方选择预付款方式的，乙方应当积极配合甲方，并按甲方需要提交符合甲方要求的担保（如保函或其他担保措施）等。甲方收到所需材料并经审核通过后，5个工作日内将对应资金支付到乙方账户。预付款总额不得高于合同总金额的70%。剩余合同款，在货到安装验收合格，提供产品的使用、操作及维修人员的培训，并能独立操作且使用部门签字确认后，由甲方支付到乙方账户。</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4、本合同中，乙方提供产品的生产企业或提供服务的企业为中小企业且符合政府相关文件规定的预付款支付条件的，按本条款执行：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（1）乙方需出具书面的预付款支付申请材料。</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default"/>
          <w:highlight w:val="none"/>
          <w:lang w:val="en-US" w:eastAsia="zh-CN"/>
        </w:rPr>
      </w:pPr>
      <w:r>
        <w:rPr>
          <w:rStyle w:val="16"/>
          <w:rFonts w:hint="eastAsia"/>
          <w:highlight w:val="none"/>
          <w:lang w:val="en-US" w:eastAsia="zh-CN"/>
        </w:rPr>
        <w:t>（2）乙方需提交符合甲方要求的预付款担保凭证：保函或其他担保措施。甲方在收到乙方提交的预付款担保凭证并经审核通过后，5个工作日内将对应资金支付到乙方账户。</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（3）甲方按照不低于合同总金额40%，不高于合同总金额70%的标准，向乙方支付预付款。实际支付的预付款金额（不低于合同总金额40%，不高于合同总金额70%）由甲方确定，乙方不得提出异议。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Style w:val="16"/>
          <w:rFonts w:hint="default"/>
          <w:highlight w:val="none"/>
          <w:lang w:val="en-US" w:eastAsia="zh-CN"/>
        </w:rPr>
      </w:pPr>
      <w:r>
        <w:rPr>
          <w:rStyle w:val="16"/>
          <w:rFonts w:hint="eastAsia"/>
          <w:highlight w:val="none"/>
          <w:lang w:val="en-US" w:eastAsia="zh-CN"/>
        </w:rPr>
        <w:t>（4）剩余合同款，在货到安装验收合格，提供产品的使用、操作及维修人员的培训，并能独立操作且使用部门签字确认后，由甲方支付到乙方账。</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Style w:val="16"/>
          <w:rFonts w:hint="default" w:eastAsia="宋体"/>
          <w:b/>
          <w:highlight w:val="none"/>
          <w:lang w:val="en-US" w:eastAsia="zh-CN"/>
        </w:rPr>
      </w:pPr>
      <w:r>
        <w:rPr>
          <w:rStyle w:val="16"/>
          <w:rFonts w:hint="default"/>
          <w:b/>
          <w:highlight w:val="none"/>
        </w:rPr>
        <w:t>四、</w:t>
      </w:r>
      <w:r>
        <w:rPr>
          <w:rStyle w:val="16"/>
          <w:rFonts w:hint="eastAsia"/>
          <w:b/>
          <w:highlight w:val="none"/>
          <w:lang w:val="en-US" w:eastAsia="zh-CN"/>
        </w:rPr>
        <w:t>主体资格及知识产权承诺</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1、主体资格：</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乙方应保证其对所供产品拥有完全的所有权</w:t>
      </w:r>
      <w:r>
        <w:rPr>
          <w:rStyle w:val="16"/>
          <w:rFonts w:hint="default"/>
          <w:highlight w:val="none"/>
          <w:lang w:val="en-US" w:eastAsia="zh-CN"/>
        </w:rPr>
        <w:t>或</w:t>
      </w:r>
      <w:r>
        <w:rPr>
          <w:rStyle w:val="16"/>
          <w:rFonts w:hint="eastAsia"/>
          <w:highlight w:val="none"/>
          <w:lang w:val="en-US" w:eastAsia="zh-CN"/>
        </w:rPr>
        <w:t>已得到</w:t>
      </w:r>
      <w:r>
        <w:rPr>
          <w:rStyle w:val="16"/>
          <w:rFonts w:hint="default"/>
          <w:highlight w:val="none"/>
          <w:lang w:val="en-US" w:eastAsia="zh-CN"/>
        </w:rPr>
        <w:t>所有者</w:t>
      </w:r>
      <w:r>
        <w:rPr>
          <w:rStyle w:val="16"/>
          <w:rFonts w:hint="eastAsia"/>
          <w:highlight w:val="none"/>
          <w:lang w:val="en-US" w:eastAsia="zh-CN"/>
        </w:rPr>
        <w:t>充分的销售授权，并确保向甲方提供的所有资质文件真实有效。若发生授权资质授权时限临近等影响供货的情况，乙方应保证在授权到期前及时提供新的授权文件。</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highlight w:val="none"/>
          <w:lang w:eastAsia="zh-CN"/>
        </w:rPr>
      </w:pPr>
      <w:r>
        <w:rPr>
          <w:rStyle w:val="16"/>
          <w:rFonts w:hint="eastAsia"/>
          <w:highlight w:val="none"/>
          <w:lang w:val="en-US" w:eastAsia="zh-CN"/>
        </w:rPr>
        <w:t>2、乙方不得将本</w:t>
      </w:r>
      <w:r>
        <w:rPr>
          <w:rFonts w:ascii="宋体" w:hAnsi="宋体" w:eastAsia="宋体"/>
          <w:color w:val="000000"/>
          <w:sz w:val="24"/>
          <w:highlight w:val="none"/>
        </w:rPr>
        <w:t>合同权利义务转让</w:t>
      </w:r>
      <w:r>
        <w:rPr>
          <w:rFonts w:hint="eastAsia" w:ascii="宋体" w:hAnsi="宋体"/>
          <w:color w:val="000000"/>
          <w:sz w:val="24"/>
          <w:highlight w:val="none"/>
          <w:lang w:val="en-US" w:eastAsia="zh-CN"/>
        </w:rPr>
        <w:t>或分包给第三人，否则甲方有权单方面解除合同</w:t>
      </w:r>
      <w:r>
        <w:rPr>
          <w:rFonts w:hint="eastAsia" w:ascii="宋体" w:hAnsi="宋体"/>
          <w:color w:val="000000"/>
          <w:sz w:val="24"/>
          <w:highlight w:val="none"/>
          <w:lang w:eastAsia="zh-CN"/>
        </w:rPr>
        <w:t>。</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Style w:val="16"/>
          <w:rFonts w:hint="eastAsia"/>
          <w:highlight w:val="none"/>
          <w:lang w:val="en-US" w:eastAsia="zh-CN"/>
        </w:rPr>
      </w:pPr>
      <w:r>
        <w:rPr>
          <w:rFonts w:hint="eastAsia" w:ascii="宋体" w:hAnsi="宋体"/>
          <w:color w:val="000000"/>
          <w:sz w:val="24"/>
          <w:highlight w:val="none"/>
          <w:lang w:val="en-US" w:eastAsia="zh-CN"/>
        </w:rPr>
        <w:t>3、</w:t>
      </w:r>
      <w:r>
        <w:rPr>
          <w:rStyle w:val="16"/>
          <w:rFonts w:hint="eastAsia"/>
          <w:highlight w:val="none"/>
          <w:lang w:val="en-US" w:eastAsia="zh-CN"/>
        </w:rPr>
        <w:t>知识产权：</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1）乙方必须保证，甲方在中华人民共和国境内使用产品或产品的某一部分时不侵犯任何第三方的知识产权，如有第三方向甲方提出侵犯其专利权、商标权或其他知识产权的主张，由此造成的一切责任由乙方承担。</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Style w:val="16"/>
          <w:rFonts w:hint="eastAsia"/>
          <w:highlight w:val="none"/>
          <w:lang w:val="en-US" w:eastAsia="zh-CN"/>
        </w:rPr>
      </w:pPr>
      <w:r>
        <w:rPr>
          <w:rStyle w:val="16"/>
          <w:rFonts w:hint="eastAsia"/>
          <w:highlight w:val="none"/>
          <w:lang w:val="en-US" w:eastAsia="zh-CN"/>
        </w:rPr>
        <w:t>（2）合同价款已包含产品所涉及的专利权、商标权或其他知识产权的有关费用及税费（如有），如有第三方向甲方主张前述费用或税费的，应由乙方承担，若因此给甲方造成损失的，乙方还应承担一切责任。</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Style w:val="16"/>
          <w:rFonts w:hint="eastAsia"/>
          <w:highlight w:val="none"/>
          <w:lang w:val="en-US" w:eastAsia="zh-Hans"/>
        </w:rPr>
      </w:pPr>
      <w:r>
        <w:rPr>
          <w:rStyle w:val="16"/>
          <w:rFonts w:hint="eastAsia"/>
          <w:highlight w:val="none"/>
          <w:lang w:val="en-US" w:eastAsia="zh-CN"/>
        </w:rPr>
        <w:t>（3）</w:t>
      </w:r>
      <w:r>
        <w:rPr>
          <w:rStyle w:val="16"/>
          <w:rFonts w:hint="eastAsia"/>
          <w:highlight w:val="none"/>
          <w:lang w:val="en-US" w:eastAsia="zh-Hans"/>
        </w:rPr>
        <w:t>未经</w:t>
      </w:r>
      <w:r>
        <w:rPr>
          <w:rStyle w:val="16"/>
          <w:rFonts w:hint="eastAsia"/>
          <w:highlight w:val="none"/>
          <w:lang w:val="en-US" w:eastAsia="zh-CN"/>
        </w:rPr>
        <w:t>甲</w:t>
      </w:r>
      <w:r>
        <w:rPr>
          <w:rStyle w:val="16"/>
          <w:rFonts w:hint="eastAsia"/>
          <w:highlight w:val="none"/>
          <w:lang w:val="en-US" w:eastAsia="zh-Hans"/>
        </w:rPr>
        <w:t>方书面同意，</w:t>
      </w:r>
      <w:r>
        <w:rPr>
          <w:rStyle w:val="16"/>
          <w:rFonts w:hint="eastAsia"/>
          <w:highlight w:val="none"/>
          <w:lang w:val="en-US" w:eastAsia="zh-CN"/>
        </w:rPr>
        <w:t>乙</w:t>
      </w:r>
      <w:r>
        <w:rPr>
          <w:rStyle w:val="16"/>
          <w:rFonts w:hint="eastAsia"/>
          <w:highlight w:val="none"/>
          <w:lang w:val="en-US" w:eastAsia="zh-Hans"/>
        </w:rPr>
        <w:t>方不得以</w:t>
      </w:r>
      <w:r>
        <w:rPr>
          <w:rStyle w:val="16"/>
          <w:rFonts w:hint="eastAsia"/>
          <w:highlight w:val="none"/>
          <w:lang w:val="en-US" w:eastAsia="zh-CN"/>
        </w:rPr>
        <w:t>甲</w:t>
      </w:r>
      <w:r>
        <w:rPr>
          <w:rStyle w:val="16"/>
          <w:rFonts w:hint="eastAsia"/>
          <w:highlight w:val="none"/>
          <w:lang w:val="en-US" w:eastAsia="zh-Hans"/>
        </w:rPr>
        <w:t>方名义对外进行宣传，包括但不限于使用包含</w:t>
      </w:r>
      <w:r>
        <w:rPr>
          <w:rStyle w:val="16"/>
          <w:rFonts w:hint="eastAsia"/>
          <w:highlight w:val="none"/>
          <w:lang w:val="en-US" w:eastAsia="zh-CN"/>
        </w:rPr>
        <w:t>甲</w:t>
      </w:r>
      <w:r>
        <w:rPr>
          <w:rStyle w:val="16"/>
          <w:rFonts w:hint="eastAsia"/>
          <w:highlight w:val="none"/>
          <w:lang w:val="en-US" w:eastAsia="zh-Hans"/>
        </w:rPr>
        <w:t>方名称、标志、</w:t>
      </w:r>
      <w:r>
        <w:rPr>
          <w:rStyle w:val="16"/>
          <w:rFonts w:hint="eastAsia"/>
          <w:highlight w:val="none"/>
          <w:lang w:val="en-US" w:eastAsia="zh-CN"/>
        </w:rPr>
        <w:t>院</w:t>
      </w:r>
      <w:r>
        <w:rPr>
          <w:rStyle w:val="16"/>
          <w:rFonts w:hint="eastAsia"/>
          <w:highlight w:val="none"/>
          <w:lang w:val="en-US" w:eastAsia="zh-Hans"/>
        </w:rPr>
        <w:t>徽等宣传标语、彩页、广告等（例如“</w:t>
      </w:r>
      <w:r>
        <w:rPr>
          <w:rStyle w:val="16"/>
          <w:rFonts w:hint="eastAsia"/>
          <w:highlight w:val="none"/>
          <w:lang w:val="en-US" w:eastAsia="zh-CN"/>
        </w:rPr>
        <w:t>甲</w:t>
      </w:r>
      <w:r>
        <w:rPr>
          <w:rStyle w:val="16"/>
          <w:rFonts w:hint="eastAsia"/>
          <w:highlight w:val="none"/>
          <w:lang w:val="en-US" w:eastAsia="zh-Hans"/>
        </w:rPr>
        <w:t>方</w:t>
      </w:r>
      <w:r>
        <w:rPr>
          <w:rStyle w:val="16"/>
          <w:rFonts w:hint="eastAsia"/>
          <w:highlight w:val="none"/>
          <w:lang w:val="en-US" w:eastAsia="zh-CN"/>
        </w:rPr>
        <w:t>供应商</w:t>
      </w:r>
      <w:r>
        <w:rPr>
          <w:rStyle w:val="16"/>
          <w:rFonts w:hint="eastAsia"/>
          <w:highlight w:val="none"/>
          <w:lang w:val="en-US" w:eastAsia="zh-Hans"/>
        </w:rPr>
        <w:t>”、“</w:t>
      </w:r>
      <w:r>
        <w:rPr>
          <w:rStyle w:val="16"/>
          <w:rFonts w:hint="eastAsia"/>
          <w:highlight w:val="none"/>
          <w:lang w:val="en-US" w:eastAsia="zh-CN"/>
        </w:rPr>
        <w:t>甲</w:t>
      </w:r>
      <w:r>
        <w:rPr>
          <w:rStyle w:val="16"/>
          <w:rFonts w:hint="eastAsia"/>
          <w:highlight w:val="none"/>
          <w:lang w:val="en-US" w:eastAsia="zh-Hans"/>
        </w:rPr>
        <w:t>方</w:t>
      </w:r>
      <w:r>
        <w:rPr>
          <w:rStyle w:val="16"/>
          <w:rFonts w:hint="eastAsia"/>
          <w:highlight w:val="none"/>
          <w:lang w:val="en-US" w:eastAsia="zh-CN"/>
        </w:rPr>
        <w:t>合作单位</w:t>
      </w:r>
      <w:r>
        <w:rPr>
          <w:rStyle w:val="16"/>
          <w:rFonts w:hint="eastAsia"/>
          <w:highlight w:val="none"/>
          <w:lang w:val="en-US" w:eastAsia="zh-Hans"/>
        </w:rPr>
        <w:t>”等）。</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default"/>
          <w:b/>
          <w:highlight w:val="none"/>
        </w:rPr>
      </w:pPr>
      <w:r>
        <w:rPr>
          <w:rStyle w:val="16"/>
          <w:rFonts w:hint="eastAsia"/>
          <w:b/>
          <w:highlight w:val="none"/>
          <w:lang w:val="en-US" w:eastAsia="zh-CN"/>
        </w:rPr>
        <w:t>五、</w:t>
      </w:r>
      <w:r>
        <w:rPr>
          <w:rStyle w:val="16"/>
          <w:rFonts w:hint="default"/>
          <w:b/>
          <w:highlight w:val="none"/>
        </w:rPr>
        <w:t>供货期限</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乙方应于合同签字盖章生效</w:t>
      </w:r>
      <w:r>
        <w:rPr>
          <w:rFonts w:hint="eastAsia" w:ascii="Arial" w:hAnsi="Arial" w:cs="Arial"/>
          <w:sz w:val="24"/>
          <w:szCs w:val="22"/>
          <w:highlight w:val="none"/>
        </w:rPr>
        <w:t>后</w:t>
      </w:r>
      <w:r>
        <w:rPr>
          <w:rFonts w:hint="eastAsia" w:ascii="Arial" w:hAnsi="Arial" w:cs="Arial"/>
          <w:sz w:val="24"/>
          <w:szCs w:val="22"/>
          <w:highlight w:val="none"/>
          <w:u w:val="single"/>
        </w:rPr>
        <w:t xml:space="preserve">     </w:t>
      </w:r>
      <w:r>
        <w:rPr>
          <w:rStyle w:val="16"/>
          <w:rFonts w:hint="default"/>
          <w:highlight w:val="none"/>
        </w:rPr>
        <w:t>个月内供货安装完成。合同签订后由乙方将货物送到甲方指定的地点，由甲方进行验收。货物运输至甲方指定地点</w:t>
      </w:r>
      <w:r>
        <w:rPr>
          <w:rStyle w:val="16"/>
          <w:rFonts w:hint="eastAsia"/>
          <w:highlight w:val="none"/>
          <w:lang w:val="en-US" w:eastAsia="zh-CN"/>
        </w:rPr>
        <w:t>并经验收合格</w:t>
      </w:r>
      <w:r>
        <w:rPr>
          <w:rStyle w:val="16"/>
          <w:rFonts w:hint="default"/>
          <w:highlight w:val="none"/>
        </w:rPr>
        <w:t>前，</w:t>
      </w:r>
      <w:r>
        <w:rPr>
          <w:rFonts w:hint="eastAsia" w:ascii="宋体" w:hAnsi="宋体"/>
          <w:sz w:val="24"/>
          <w:szCs w:val="24"/>
          <w:highlight w:val="none"/>
          <w:u w:val="single"/>
          <w:lang w:val="en-US" w:eastAsia="zh-CN"/>
        </w:rPr>
        <w:t>乙方</w:t>
      </w:r>
      <w:r>
        <w:rPr>
          <w:rFonts w:hint="eastAsia" w:ascii="宋体" w:hAnsi="宋体"/>
          <w:sz w:val="24"/>
          <w:szCs w:val="24"/>
          <w:highlight w:val="none"/>
          <w:u w:val="single"/>
        </w:rPr>
        <w:t xml:space="preserve"> </w:t>
      </w:r>
      <w:r>
        <w:rPr>
          <w:rStyle w:val="16"/>
          <w:rFonts w:hint="default"/>
          <w:highlight w:val="none"/>
        </w:rPr>
        <w:t>负责对货物承担安保义务。</w:t>
      </w:r>
      <w:r>
        <w:rPr>
          <w:rStyle w:val="16"/>
          <w:rFonts w:hint="eastAsia"/>
          <w:highlight w:val="none"/>
          <w:lang w:val="en-US" w:eastAsia="zh-CN"/>
        </w:rPr>
        <w:t>甲方</w:t>
      </w:r>
      <w:r>
        <w:rPr>
          <w:rStyle w:val="16"/>
          <w:rFonts w:hint="default"/>
          <w:highlight w:val="none"/>
        </w:rPr>
        <w:t>应当在项目完成且收到</w:t>
      </w:r>
      <w:r>
        <w:rPr>
          <w:rStyle w:val="16"/>
          <w:rFonts w:hint="eastAsia"/>
          <w:highlight w:val="none"/>
          <w:lang w:val="en-US" w:eastAsia="zh-CN"/>
        </w:rPr>
        <w:t>乙方</w:t>
      </w:r>
      <w:r>
        <w:rPr>
          <w:rStyle w:val="16"/>
          <w:rFonts w:hint="default"/>
          <w:highlight w:val="none"/>
        </w:rPr>
        <w:t>验收申请后 5 个工作日内组织开展履约验收。</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eastAsia" w:eastAsia="宋体"/>
          <w:b/>
          <w:highlight w:val="none"/>
          <w:lang w:eastAsia="zh-CN"/>
        </w:rPr>
      </w:pPr>
      <w:r>
        <w:rPr>
          <w:rStyle w:val="16"/>
          <w:rFonts w:hint="eastAsia"/>
          <w:b/>
          <w:highlight w:val="none"/>
          <w:lang w:val="en-US" w:eastAsia="zh-CN"/>
        </w:rPr>
        <w:t>六</w:t>
      </w:r>
      <w:r>
        <w:rPr>
          <w:rStyle w:val="16"/>
          <w:rFonts w:hint="default"/>
          <w:b/>
          <w:highlight w:val="none"/>
        </w:rPr>
        <w:t>、验收要求</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（一）质量标准</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乙方保证提供的货物符合中华人民共和国国家及行业的安全质量标准、环保标准中之较高者；若货物来源于中华人民共和国境外，还要同时符合货物来源国的官方、行业及生产厂商的安全质量标准、环保标准中之较高者。上述标准为已发布的且在货物交付时有效的最新版本的标准；当货物来源于中华人民共和国境外时，产品必须附有原产地证明、出厂检验合格证。</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（二）验收组织</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甲方负责组织验收工作，大型或者复杂的政府采购项目，必须邀请国家认可的质量检测机构参加验收工作。</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（三）验收程序</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eastAsia="宋体"/>
          <w:highlight w:val="none"/>
          <w:lang w:eastAsia="zh-CN"/>
        </w:rPr>
      </w:pPr>
      <w:r>
        <w:rPr>
          <w:rStyle w:val="16"/>
          <w:rFonts w:hint="default"/>
          <w:highlight w:val="none"/>
        </w:rPr>
        <w:t>1、成立验收小组，验收人员应由甲方代表和技术专家组成。</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eastAsia="宋体"/>
          <w:highlight w:val="none"/>
          <w:lang w:eastAsia="zh-CN"/>
        </w:rPr>
      </w:pPr>
      <w:r>
        <w:rPr>
          <w:rStyle w:val="16"/>
          <w:rFonts w:hint="default"/>
          <w:highlight w:val="none"/>
        </w:rPr>
        <w:t>2、验收前要编制验收表格。</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eastAsia="宋体"/>
          <w:highlight w:val="none"/>
          <w:lang w:eastAsia="zh-CN"/>
        </w:rPr>
      </w:pPr>
      <w:r>
        <w:rPr>
          <w:rStyle w:val="16"/>
          <w:rFonts w:hint="default"/>
          <w:highlight w:val="none"/>
        </w:rPr>
        <w:t>3、验收时双方要按照验收表格逐项验收。</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4、验收方出具验收报告。</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5、复杂设备的验收还要包括出厂检验、到货检验、安装和调试、最终验收、培训等伴随服务的验收。</w:t>
      </w:r>
    </w:p>
    <w:p>
      <w:pPr>
        <w:pStyle w:val="2"/>
        <w:spacing w:line="360" w:lineRule="auto"/>
        <w:ind w:firstLineChars="200"/>
        <w:rPr>
          <w:rFonts w:hint="default"/>
          <w:sz w:val="24"/>
          <w:szCs w:val="24"/>
          <w:highlight w:val="none"/>
        </w:rPr>
      </w:pPr>
      <w:r>
        <w:rPr>
          <w:rFonts w:hint="eastAsia"/>
          <w:color w:val="000000"/>
          <w:sz w:val="24"/>
          <w:szCs w:val="24"/>
          <w:highlight w:val="none"/>
        </w:rPr>
        <w:t>如发现质量、环保等问题，乙方应视情况采取更换等方式及时解决直至各项数据符合约定要求。甲方有权对部分设备、材料采用送专业检测部门检测的权利，乙方必须配合并支付检测费用。</w:t>
      </w:r>
    </w:p>
    <w:p>
      <w:pPr>
        <w:pStyle w:val="13"/>
        <w:spacing w:line="360" w:lineRule="auto"/>
        <w:ind w:firstLine="480" w:firstLineChars="200"/>
        <w:rPr>
          <w:rStyle w:val="16"/>
          <w:rFonts w:hint="eastAsia"/>
          <w:highlight w:val="none"/>
          <w:lang w:val="en-US" w:eastAsia="zh-CN"/>
        </w:rPr>
      </w:pPr>
      <w:r>
        <w:rPr>
          <w:rStyle w:val="16"/>
          <w:rFonts w:hint="eastAsia"/>
          <w:highlight w:val="none"/>
          <w:lang w:eastAsia="zh-CN"/>
        </w:rPr>
        <w:t>（</w:t>
      </w:r>
      <w:r>
        <w:rPr>
          <w:rStyle w:val="16"/>
          <w:rFonts w:hint="eastAsia"/>
          <w:highlight w:val="none"/>
          <w:lang w:val="en-US" w:eastAsia="zh-CN"/>
        </w:rPr>
        <w:t>四</w:t>
      </w:r>
      <w:r>
        <w:rPr>
          <w:rStyle w:val="16"/>
          <w:rFonts w:hint="eastAsia"/>
          <w:highlight w:val="none"/>
          <w:lang w:eastAsia="zh-CN"/>
        </w:rPr>
        <w:t>）</w:t>
      </w:r>
      <w:r>
        <w:rPr>
          <w:rStyle w:val="16"/>
          <w:rFonts w:hint="eastAsia"/>
          <w:highlight w:val="none"/>
          <w:lang w:val="en-US" w:eastAsia="zh-CN"/>
        </w:rPr>
        <w:t>验收联系方式</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ascii="宋体" w:hAnsi="宋体" w:eastAsia="宋体" w:cs="Times New Roman"/>
          <w:highlight w:val="none"/>
          <w:lang w:val="en-US" w:eastAsia="zh-CN"/>
        </w:rPr>
      </w:pPr>
      <w:r>
        <w:rPr>
          <w:rStyle w:val="16"/>
          <w:rFonts w:hint="eastAsia" w:ascii="宋体" w:hAnsi="宋体" w:eastAsia="宋体" w:cs="Times New Roman"/>
          <w:highlight w:val="none"/>
        </w:rPr>
        <w:t>货到时请联系</w:t>
      </w:r>
      <w:r>
        <w:rPr>
          <w:rStyle w:val="16"/>
          <w:rFonts w:hint="eastAsia" w:ascii="宋体" w:hAnsi="宋体" w:cs="Times New Roman"/>
          <w:highlight w:val="none"/>
          <w:lang w:val="en-US" w:eastAsia="zh-CN"/>
        </w:rPr>
        <w:t>医院</w:t>
      </w:r>
      <w:r>
        <w:rPr>
          <w:rStyle w:val="16"/>
          <w:rFonts w:hint="eastAsia" w:ascii="宋体" w:hAnsi="宋体" w:eastAsia="宋体" w:cs="Times New Roman"/>
          <w:highlight w:val="none"/>
        </w:rPr>
        <w:t>办理验收入库手续，联系电话：</w:t>
      </w:r>
      <w:r>
        <w:rPr>
          <w:rStyle w:val="16"/>
          <w:rFonts w:hint="eastAsia" w:ascii="宋体" w:hAnsi="宋体" w:cs="Times New Roman"/>
          <w:highlight w:val="none"/>
          <w:lang w:val="en-US" w:eastAsia="zh-CN"/>
        </w:rPr>
        <w:t>0551-</w:t>
      </w:r>
      <w:r>
        <w:rPr>
          <w:rStyle w:val="16"/>
          <w:rFonts w:hint="eastAsia" w:ascii="宋体" w:hAnsi="宋体" w:eastAsia="宋体" w:cs="Times New Roman"/>
          <w:highlight w:val="none"/>
        </w:rPr>
        <w:t>62283067（医学工程处-</w:t>
      </w:r>
      <w:r>
        <w:rPr>
          <w:rStyle w:val="16"/>
          <w:rFonts w:hint="eastAsia" w:ascii="宋体" w:hAnsi="宋体" w:cs="Times New Roman"/>
          <w:highlight w:val="none"/>
          <w:lang w:val="en-US" w:eastAsia="zh-CN"/>
        </w:rPr>
        <w:t>中区</w:t>
      </w:r>
      <w:r>
        <w:rPr>
          <w:rStyle w:val="16"/>
          <w:rFonts w:hint="eastAsia" w:ascii="宋体" w:hAnsi="宋体" w:eastAsia="宋体" w:cs="Times New Roman"/>
          <w:highlight w:val="none"/>
        </w:rPr>
        <w:t>设备），</w:t>
      </w:r>
      <w:r>
        <w:rPr>
          <w:rStyle w:val="16"/>
          <w:rFonts w:hint="eastAsia" w:ascii="宋体" w:hAnsi="宋体" w:cs="Times New Roman"/>
          <w:highlight w:val="none"/>
          <w:lang w:val="en-US" w:eastAsia="zh-CN"/>
        </w:rPr>
        <w:t>0551-</w:t>
      </w:r>
      <w:r>
        <w:rPr>
          <w:rStyle w:val="16"/>
          <w:rFonts w:hint="eastAsia" w:ascii="宋体" w:hAnsi="宋体" w:eastAsia="宋体" w:cs="Times New Roman"/>
          <w:highlight w:val="none"/>
        </w:rPr>
        <w:t>62283614（医学工程处-</w:t>
      </w:r>
      <w:r>
        <w:rPr>
          <w:rStyle w:val="16"/>
          <w:rFonts w:hint="eastAsia" w:ascii="宋体" w:hAnsi="宋体" w:cs="Times New Roman"/>
          <w:highlight w:val="none"/>
          <w:lang w:val="en-US" w:eastAsia="zh-CN"/>
        </w:rPr>
        <w:t>中区</w:t>
      </w:r>
      <w:bookmarkStart w:id="0" w:name="_GoBack"/>
      <w:bookmarkEnd w:id="0"/>
      <w:r>
        <w:rPr>
          <w:rStyle w:val="16"/>
          <w:rFonts w:hint="eastAsia" w:ascii="宋体" w:hAnsi="宋体" w:eastAsia="宋体" w:cs="Times New Roman"/>
          <w:highlight w:val="none"/>
        </w:rPr>
        <w:t>仓储），</w:t>
      </w:r>
      <w:r>
        <w:rPr>
          <w:rStyle w:val="16"/>
          <w:rFonts w:hint="eastAsia" w:ascii="宋体" w:hAnsi="宋体" w:cs="Times New Roman"/>
          <w:highlight w:val="none"/>
          <w:lang w:val="en-US" w:eastAsia="zh-CN"/>
        </w:rPr>
        <w:t>0551-</w:t>
      </w:r>
      <w:r>
        <w:rPr>
          <w:rStyle w:val="16"/>
          <w:rFonts w:hint="eastAsia" w:ascii="宋体" w:hAnsi="宋体" w:eastAsia="宋体" w:cs="Times New Roman"/>
          <w:highlight w:val="none"/>
        </w:rPr>
        <w:t>62284012（医学工程处-南区），</w:t>
      </w:r>
      <w:r>
        <w:rPr>
          <w:rStyle w:val="16"/>
          <w:rFonts w:hint="eastAsia" w:ascii="宋体" w:hAnsi="宋体" w:cs="Times New Roman"/>
          <w:highlight w:val="none"/>
          <w:lang w:val="en-US" w:eastAsia="zh-CN"/>
        </w:rPr>
        <w:t>0551-</w:t>
      </w:r>
      <w:r>
        <w:rPr>
          <w:rStyle w:val="16"/>
          <w:rFonts w:hint="eastAsia" w:ascii="宋体" w:hAnsi="宋体" w:eastAsia="宋体" w:cs="Times New Roman"/>
          <w:highlight w:val="none"/>
        </w:rPr>
        <w:t>622</w:t>
      </w:r>
      <w:r>
        <w:rPr>
          <w:rStyle w:val="16"/>
          <w:rFonts w:hint="eastAsia" w:ascii="宋体" w:hAnsi="宋体" w:cs="Times New Roman"/>
          <w:highlight w:val="none"/>
          <w:lang w:val="en-US" w:eastAsia="zh-CN"/>
        </w:rPr>
        <w:t>24052</w:t>
      </w:r>
      <w:r>
        <w:rPr>
          <w:rStyle w:val="16"/>
          <w:rFonts w:hint="eastAsia" w:ascii="宋体" w:hAnsi="宋体" w:eastAsia="宋体" w:cs="Times New Roman"/>
          <w:highlight w:val="none"/>
        </w:rPr>
        <w:t>（</w:t>
      </w:r>
      <w:r>
        <w:rPr>
          <w:rStyle w:val="16"/>
          <w:rFonts w:hint="eastAsia" w:ascii="宋体" w:hAnsi="宋体" w:cs="Times New Roman"/>
          <w:highlight w:val="none"/>
          <w:lang w:val="en-US" w:eastAsia="zh-CN"/>
        </w:rPr>
        <w:t>医学工程处-北城），0551-65327677（医学工程处-西区），0551-</w:t>
      </w:r>
      <w:r>
        <w:rPr>
          <w:rStyle w:val="16"/>
          <w:rFonts w:hint="default" w:ascii="宋体" w:hAnsi="宋体" w:cs="Times New Roman"/>
          <w:highlight w:val="none"/>
          <w:lang w:val="en-US" w:eastAsia="zh-CN"/>
        </w:rPr>
        <w:t>622830</w:t>
      </w:r>
      <w:r>
        <w:rPr>
          <w:rStyle w:val="16"/>
          <w:rFonts w:hint="default" w:ascii="宋体" w:hAnsi="宋体" w:eastAsia="宋体" w:cs="Times New Roman"/>
          <w:highlight w:val="none"/>
        </w:rPr>
        <w:t>39</w:t>
      </w:r>
      <w:r>
        <w:rPr>
          <w:rStyle w:val="16"/>
          <w:rFonts w:hint="eastAsia" w:ascii="宋体" w:hAnsi="宋体" w:eastAsia="宋体" w:cs="Times New Roman"/>
          <w:highlight w:val="none"/>
        </w:rPr>
        <w:t>（科研处）</w:t>
      </w:r>
      <w:r>
        <w:rPr>
          <w:rStyle w:val="16"/>
          <w:rFonts w:hint="eastAsia" w:ascii="宋体" w:hAnsi="宋体" w:eastAsia="宋体" w:cs="Times New Roman"/>
          <w:highlight w:val="none"/>
          <w:lang w:eastAsia="zh-CN"/>
        </w:rPr>
        <w:t>。</w:t>
      </w:r>
    </w:p>
    <w:p>
      <w:pPr>
        <w:keepNext w:val="0"/>
        <w:keepLines w:val="0"/>
        <w:pageBreakBefore w:val="0"/>
        <w:widowControl w:val="0"/>
        <w:kinsoku/>
        <w:wordWrap/>
        <w:overflowPunct/>
        <w:topLinePunct w:val="0"/>
        <w:autoSpaceDE/>
        <w:autoSpaceDN/>
        <w:bidi w:val="0"/>
        <w:spacing w:line="360" w:lineRule="auto"/>
        <w:ind w:left="0" w:leftChars="0" w:firstLine="482" w:firstLineChars="200"/>
        <w:contextualSpacing/>
        <w:textAlignment w:val="auto"/>
        <w:rPr>
          <w:rStyle w:val="16"/>
          <w:rFonts w:hint="default"/>
          <w:b/>
          <w:highlight w:val="none"/>
        </w:rPr>
      </w:pPr>
      <w:r>
        <w:rPr>
          <w:rStyle w:val="16"/>
          <w:rFonts w:hint="eastAsia"/>
          <w:b/>
          <w:highlight w:val="none"/>
          <w:lang w:val="en-US" w:eastAsia="zh-CN"/>
        </w:rPr>
        <w:t>七</w:t>
      </w:r>
      <w:r>
        <w:rPr>
          <w:rStyle w:val="16"/>
          <w:rFonts w:hint="default"/>
          <w:b/>
          <w:highlight w:val="none"/>
        </w:rPr>
        <w:t>、付款方式</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Fonts w:ascii="宋体" w:hAnsi="宋体" w:cs="宋体"/>
          <w:bCs/>
          <w:kern w:val="0"/>
          <w:sz w:val="24"/>
          <w:szCs w:val="24"/>
          <w:highlight w:val="none"/>
        </w:rPr>
      </w:pPr>
      <w:r>
        <w:rPr>
          <w:rStyle w:val="16"/>
          <w:rFonts w:hint="eastAsia"/>
          <w:highlight w:val="none"/>
          <w:lang w:val="en-US" w:eastAsia="zh-CN"/>
        </w:rPr>
        <w:t>货到安装验收合格，提供产品的使用、操作及维修人员的培训，并能独立操作且使用部门签字确认后</w:t>
      </w:r>
      <w:r>
        <w:rPr>
          <w:rFonts w:hint="eastAsia" w:ascii="宋体" w:hAnsi="宋体" w:cs="宋体"/>
          <w:bCs/>
          <w:kern w:val="0"/>
          <w:sz w:val="24"/>
          <w:szCs w:val="24"/>
          <w:highlight w:val="none"/>
          <w:lang w:val="en-US" w:eastAsia="zh-CN"/>
        </w:rPr>
        <w:t>，甲方应当支付全部货款</w:t>
      </w:r>
      <w:r>
        <w:rPr>
          <w:rFonts w:hint="eastAsia" w:ascii="宋体" w:hAnsi="宋体" w:cs="宋体"/>
          <w:bCs/>
          <w:kern w:val="0"/>
          <w:sz w:val="24"/>
          <w:szCs w:val="24"/>
          <w:highlight w:val="none"/>
        </w:rPr>
        <w:t>。</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eastAsia" w:eastAsia="宋体"/>
          <w:b/>
          <w:highlight w:val="none"/>
          <w:lang w:eastAsia="zh-CN"/>
        </w:rPr>
      </w:pPr>
      <w:r>
        <w:rPr>
          <w:rStyle w:val="16"/>
          <w:rFonts w:hint="eastAsia"/>
          <w:b/>
          <w:highlight w:val="none"/>
          <w:lang w:val="en-US" w:eastAsia="zh-CN"/>
        </w:rPr>
        <w:t>八</w:t>
      </w:r>
      <w:r>
        <w:rPr>
          <w:rStyle w:val="16"/>
          <w:rFonts w:hint="default"/>
          <w:b/>
          <w:highlight w:val="none"/>
        </w:rPr>
        <w:t>、售后服务</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（一）厂商对合同货物的质量保修期为验收证书签署之日起</w:t>
      </w:r>
      <w:r>
        <w:rPr>
          <w:rStyle w:val="16"/>
          <w:rFonts w:hint="default"/>
          <w:highlight w:val="none"/>
          <w:u w:val="single"/>
        </w:rPr>
        <w:t xml:space="preserve">     </w:t>
      </w:r>
      <w:r>
        <w:rPr>
          <w:rStyle w:val="16"/>
          <w:rFonts w:hint="default"/>
          <w:highlight w:val="none"/>
        </w:rPr>
        <w:t>年。</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（二）厂商在合同货物的质量保修期内，免费为甲方提供合同货物的技术指导和维修服务的时间是：每周1小时（工作时间）。</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（三）厂商保证在合同货物出现故障和缺陷时，或接到甲方提出的技术服务要求后48小时内予以答复，如甲方有要求或必要时，厂商应在接到甲方通知后48小时内派员至甲方免费维修和提供现场指导。</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（四）如厂商在接到甲方维修通知后3个月仍不能修复有关货物，厂商应提供与该货物同一型号的备用货物。</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五）如厂商在接到甲方提出的技术服务要求或维修通知后48小时内没有响应、拒绝或没有派员到达甲方提供技术服务、修理或退换货物，甲方有权委托第三方对合同货物进行维修或提供技术服务，因此产生的相关费用由厂商承担。</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（六）在合同货物保修期届满后，如果因合同货物硬件或软件的固有缺陷和瑕疵出现紧急故障和事故，厂商应在接到甲方通知之后</w:t>
      </w:r>
      <w:r>
        <w:rPr>
          <w:rStyle w:val="16"/>
          <w:rFonts w:hint="default"/>
          <w:highlight w:val="none"/>
          <w:u w:val="single"/>
        </w:rPr>
        <w:t>48</w:t>
      </w:r>
      <w:r>
        <w:rPr>
          <w:rStyle w:val="16"/>
          <w:rFonts w:hint="default"/>
          <w:highlight w:val="none"/>
        </w:rPr>
        <w:t>小时内到达现场。</w:t>
      </w:r>
    </w:p>
    <w:p>
      <w:pPr>
        <w:spacing w:line="360" w:lineRule="auto"/>
        <w:ind w:firstLine="480" w:firstLineChars="200"/>
        <w:contextualSpacing/>
        <w:rPr>
          <w:rStyle w:val="16"/>
          <w:rFonts w:hint="eastAsia"/>
          <w:highlight w:val="none"/>
          <w:lang w:val="en-US" w:eastAsia="zh-CN"/>
        </w:rPr>
      </w:pPr>
      <w:r>
        <w:rPr>
          <w:rStyle w:val="16"/>
          <w:rFonts w:hint="eastAsia"/>
          <w:highlight w:val="none"/>
          <w:lang w:eastAsia="zh-CN"/>
        </w:rPr>
        <w:t>（</w:t>
      </w:r>
      <w:r>
        <w:rPr>
          <w:rStyle w:val="16"/>
          <w:rFonts w:hint="eastAsia"/>
          <w:highlight w:val="none"/>
          <w:lang w:val="en-US" w:eastAsia="zh-CN"/>
        </w:rPr>
        <w:t>七</w:t>
      </w:r>
      <w:r>
        <w:rPr>
          <w:rStyle w:val="16"/>
          <w:rFonts w:hint="eastAsia"/>
          <w:highlight w:val="none"/>
          <w:lang w:eastAsia="zh-CN"/>
        </w:rPr>
        <w:t>）</w:t>
      </w:r>
      <w:r>
        <w:rPr>
          <w:rStyle w:val="16"/>
          <w:rFonts w:hint="eastAsia"/>
          <w:highlight w:val="none"/>
          <w:lang w:val="en-US" w:eastAsia="zh-CN"/>
        </w:rPr>
        <w:t>乙方应确保厂商履行上述售后服务义务，若厂商提供的上述售后服务义务存在瑕疵，乙方应对此承担全部责任。</w:t>
      </w:r>
    </w:p>
    <w:p>
      <w:pPr>
        <w:spacing w:line="360" w:lineRule="auto"/>
        <w:ind w:firstLine="480" w:firstLineChars="200"/>
        <w:contextualSpacing/>
        <w:rPr>
          <w:rFonts w:hint="default"/>
          <w:sz w:val="24"/>
          <w:szCs w:val="24"/>
          <w:highlight w:val="none"/>
          <w:lang w:val="en-US" w:eastAsia="zh-CN"/>
        </w:rPr>
      </w:pPr>
      <w:r>
        <w:rPr>
          <w:rStyle w:val="16"/>
          <w:rFonts w:hint="eastAsia"/>
          <w:highlight w:val="none"/>
          <w:lang w:val="en-US" w:eastAsia="zh-CN"/>
        </w:rPr>
        <w:t>（八）</w:t>
      </w:r>
      <w:r>
        <w:rPr>
          <w:rFonts w:hint="eastAsia" w:ascii="宋体" w:hAnsi="宋体"/>
          <w:color w:val="000000"/>
          <w:sz w:val="24"/>
          <w:szCs w:val="24"/>
          <w:highlight w:val="none"/>
        </w:rPr>
        <w:t>合同履行过程中的安全责任均由乙方自行承担。由于乙方的原因造成施工人员伤亡事故、第三方事故或使甲方、乙方或第三方受损等一切责任及事故，将由乙方承担全部责任。</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default"/>
          <w:b/>
          <w:highlight w:val="none"/>
        </w:rPr>
      </w:pPr>
      <w:r>
        <w:rPr>
          <w:rStyle w:val="16"/>
          <w:rFonts w:hint="eastAsia"/>
          <w:b/>
          <w:highlight w:val="none"/>
          <w:lang w:val="en-US" w:eastAsia="zh-CN"/>
        </w:rPr>
        <w:t>九</w:t>
      </w:r>
      <w:r>
        <w:rPr>
          <w:rStyle w:val="16"/>
          <w:rFonts w:hint="default"/>
          <w:b/>
          <w:highlight w:val="none"/>
        </w:rPr>
        <w:t>、履约保证金</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Fonts w:hint="eastAsia" w:ascii="宋体" w:hAnsi="宋体"/>
          <w:sz w:val="24"/>
          <w:highlight w:val="none"/>
          <w:lang w:val="en-US" w:eastAsia="zh-CN"/>
        </w:rPr>
      </w:pPr>
      <w:r>
        <w:rPr>
          <w:rFonts w:hint="eastAsia" w:ascii="宋体" w:hAnsi="宋体"/>
          <w:sz w:val="24"/>
          <w:highlight w:val="none"/>
          <w:lang w:val="en-US" w:eastAsia="zh-CN"/>
        </w:rPr>
        <w:t>1、</w:t>
      </w:r>
      <w:r>
        <w:rPr>
          <w:rFonts w:hint="eastAsia" w:ascii="宋体" w:hAnsi="宋体"/>
          <w:sz w:val="24"/>
          <w:highlight w:val="none"/>
        </w:rPr>
        <w:t>本项目履约保证金为</w:t>
      </w:r>
      <w:r>
        <w:rPr>
          <w:rFonts w:hint="eastAsia" w:ascii="宋体" w:hAnsi="宋体"/>
          <w:sz w:val="24"/>
          <w:highlight w:val="none"/>
          <w:lang w:val="en-US" w:eastAsia="zh-CN"/>
        </w:rPr>
        <w:t>项目总金额的2.5%，即</w:t>
      </w:r>
      <w:r>
        <w:rPr>
          <w:rFonts w:hint="eastAsia" w:ascii="宋体" w:hAnsi="宋体"/>
          <w:sz w:val="24"/>
          <w:highlight w:val="none"/>
          <w:u w:val="single"/>
        </w:rPr>
        <w:t xml:space="preserve">      </w:t>
      </w:r>
      <w:r>
        <w:rPr>
          <w:rFonts w:hint="eastAsia" w:ascii="宋体" w:hAnsi="宋体"/>
          <w:sz w:val="24"/>
          <w:highlight w:val="none"/>
        </w:rPr>
        <w:t>元(人民币大写：</w:t>
      </w:r>
      <w:r>
        <w:rPr>
          <w:rFonts w:hint="eastAsia" w:ascii="宋体" w:hAnsi="宋体"/>
          <w:sz w:val="24"/>
          <w:highlight w:val="none"/>
          <w:u w:val="single"/>
        </w:rPr>
        <w:t xml:space="preserve">     圆整 </w:t>
      </w:r>
      <w:r>
        <w:rPr>
          <w:rFonts w:hint="eastAsia" w:ascii="宋体" w:hAnsi="宋体"/>
          <w:sz w:val="24"/>
          <w:highlight w:val="none"/>
        </w:rPr>
        <w:t>)，收受人为</w:t>
      </w:r>
      <w:r>
        <w:rPr>
          <w:rFonts w:hint="eastAsia" w:ascii="宋体" w:hAnsi="宋体"/>
          <w:sz w:val="24"/>
          <w:highlight w:val="none"/>
          <w:u w:val="single"/>
        </w:rPr>
        <w:t xml:space="preserve">  中国科大附一院（安徽省立医院）  </w:t>
      </w:r>
      <w:r>
        <w:rPr>
          <w:rFonts w:hint="eastAsia" w:ascii="宋体" w:hAnsi="宋体"/>
          <w:sz w:val="24"/>
          <w:highlight w:val="none"/>
        </w:rPr>
        <w:t>，</w:t>
      </w:r>
      <w:r>
        <w:rPr>
          <w:rFonts w:hint="eastAsia" w:ascii="宋体" w:hAnsi="宋体"/>
          <w:sz w:val="24"/>
          <w:highlight w:val="none"/>
          <w:lang w:val="en-US" w:eastAsia="zh-CN"/>
        </w:rPr>
        <w:t xml:space="preserve">形式为 </w:t>
      </w:r>
      <w:r>
        <w:rPr>
          <w:rFonts w:hint="eastAsia" w:ascii="宋体" w:hAnsi="宋体"/>
          <w:szCs w:val="21"/>
          <w:highlight w:val="none"/>
        </w:rPr>
        <w:sym w:font="Wingdings 2" w:char="00A3"/>
      </w:r>
      <w:r>
        <w:rPr>
          <w:rFonts w:hint="eastAsia" w:ascii="宋体" w:hAnsi="宋体"/>
          <w:szCs w:val="21"/>
          <w:highlight w:val="none"/>
          <w:lang w:val="en-US" w:eastAsia="zh-CN"/>
        </w:rPr>
        <w:t xml:space="preserve"> </w:t>
      </w:r>
      <w:r>
        <w:rPr>
          <w:rFonts w:hint="eastAsia" w:ascii="宋体" w:hAnsi="宋体"/>
          <w:sz w:val="24"/>
          <w:highlight w:val="none"/>
          <w:u w:val="single"/>
          <w:lang w:val="en-US" w:eastAsia="zh-CN"/>
        </w:rPr>
        <w:t>现金（含电汇）</w:t>
      </w:r>
      <w:r>
        <w:rPr>
          <w:rFonts w:hint="eastAsia" w:ascii="宋体" w:hAnsi="宋体"/>
          <w:sz w:val="24"/>
          <w:highlight w:val="none"/>
          <w:lang w:val="en-US" w:eastAsia="zh-CN"/>
        </w:rPr>
        <w:t>、</w:t>
      </w:r>
      <w:r>
        <w:rPr>
          <w:rFonts w:hint="eastAsia" w:ascii="宋体" w:hAnsi="宋体"/>
          <w:szCs w:val="21"/>
          <w:highlight w:val="none"/>
        </w:rPr>
        <w:t>□</w:t>
      </w:r>
      <w:r>
        <w:rPr>
          <w:rFonts w:hint="eastAsia" w:ascii="宋体" w:hAnsi="宋体"/>
          <w:szCs w:val="21"/>
          <w:highlight w:val="none"/>
          <w:lang w:val="en-US" w:eastAsia="zh-CN"/>
        </w:rPr>
        <w:t xml:space="preserve"> </w:t>
      </w:r>
      <w:r>
        <w:rPr>
          <w:rFonts w:hint="eastAsia" w:ascii="宋体" w:hAnsi="宋体"/>
          <w:sz w:val="24"/>
          <w:highlight w:val="none"/>
          <w:u w:val="single"/>
          <w:lang w:val="en-US" w:eastAsia="zh-CN"/>
        </w:rPr>
        <w:t>保函</w:t>
      </w:r>
      <w:r>
        <w:rPr>
          <w:rFonts w:hint="eastAsia" w:ascii="宋体" w:hAnsi="宋体"/>
          <w:sz w:val="24"/>
          <w:highlight w:val="none"/>
          <w:lang w:val="en-US" w:eastAsia="zh-CN"/>
        </w:rPr>
        <w:t>、</w:t>
      </w:r>
      <w:r>
        <w:rPr>
          <w:rFonts w:hint="eastAsia" w:ascii="宋体" w:hAnsi="宋体"/>
          <w:szCs w:val="21"/>
          <w:highlight w:val="none"/>
        </w:rPr>
        <w:t>□</w:t>
      </w:r>
      <w:r>
        <w:rPr>
          <w:rFonts w:hint="eastAsia" w:ascii="宋体" w:hAnsi="宋体"/>
          <w:szCs w:val="21"/>
          <w:highlight w:val="none"/>
          <w:lang w:val="en-US" w:eastAsia="zh-CN"/>
        </w:rPr>
        <w:t xml:space="preserve"> </w:t>
      </w:r>
      <w:r>
        <w:rPr>
          <w:rFonts w:hint="eastAsia" w:ascii="宋体" w:hAnsi="宋体"/>
          <w:sz w:val="24"/>
          <w:highlight w:val="none"/>
          <w:u w:val="single"/>
          <w:lang w:val="en-US" w:eastAsia="zh-CN"/>
        </w:rPr>
        <w:t>支票</w:t>
      </w:r>
      <w:r>
        <w:rPr>
          <w:rFonts w:hint="eastAsia" w:ascii="宋体" w:hAnsi="宋体"/>
          <w:sz w:val="24"/>
          <w:highlight w:val="none"/>
        </w:rPr>
        <w:t>。如乙方未能按期履行合同，甲方可从履约保证金中获得经济上的赔偿。</w:t>
      </w:r>
      <w:r>
        <w:rPr>
          <w:rFonts w:hint="eastAsia" w:ascii="宋体" w:hAnsi="宋体"/>
          <w:sz w:val="24"/>
          <w:highlight w:val="none"/>
          <w:lang w:val="en-US" w:eastAsia="zh-CN"/>
        </w:rPr>
        <w:t>若履约保证金的形式是保函（需为不可撤销独立保函）或支票的，在其有效期内项目未完成的，乙方应当自行给甲方提供新的履约保证金凭证直至项目完成。</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Fonts w:hint="eastAsia" w:ascii="宋体" w:hAnsi="宋体"/>
          <w:sz w:val="24"/>
          <w:highlight w:val="none"/>
          <w:lang w:val="en-US" w:eastAsia="zh-CN"/>
        </w:rPr>
      </w:pPr>
      <w:r>
        <w:rPr>
          <w:rFonts w:hint="eastAsia" w:ascii="宋体" w:hAnsi="宋体"/>
          <w:sz w:val="24"/>
          <w:highlight w:val="none"/>
          <w:lang w:val="en-US" w:eastAsia="zh-CN"/>
        </w:rPr>
        <w:t>2、因乙方未及时提供或替换已到期履约保证金凭证而造成甲方的一切损失，由乙方承担。</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Fonts w:hint="eastAsia" w:ascii="宋体" w:hAnsi="宋体"/>
          <w:sz w:val="24"/>
          <w:highlight w:val="none"/>
          <w:lang w:val="en-US" w:eastAsia="zh-CN"/>
        </w:rPr>
      </w:pPr>
      <w:r>
        <w:rPr>
          <w:rFonts w:hint="eastAsia" w:ascii="宋体" w:hAnsi="宋体"/>
          <w:sz w:val="24"/>
          <w:highlight w:val="none"/>
          <w:lang w:val="en-US" w:eastAsia="zh-CN"/>
        </w:rPr>
        <w:t>3、履约保证金满足退还条件时，甲方应满足条件之日起 7 个工作日内将履约保证金凭证退还乙方或将履约保证金退至乙方账户。</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default"/>
          <w:b/>
          <w:highlight w:val="none"/>
          <w:lang w:val="en-US" w:eastAsia="zh-CN"/>
        </w:rPr>
      </w:pPr>
      <w:r>
        <w:rPr>
          <w:rStyle w:val="16"/>
          <w:rFonts w:hint="eastAsia"/>
          <w:b/>
          <w:highlight w:val="none"/>
          <w:lang w:val="en-US" w:eastAsia="zh-CN"/>
        </w:rPr>
        <w:t>十、保函或其他担保措施</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Fonts w:hint="default" w:ascii="宋体" w:hAnsi="宋体"/>
          <w:sz w:val="24"/>
          <w:highlight w:val="none"/>
          <w:lang w:val="en-US" w:eastAsia="zh-CN"/>
        </w:rPr>
      </w:pPr>
      <w:r>
        <w:rPr>
          <w:rFonts w:hint="eastAsia" w:ascii="宋体" w:hAnsi="宋体"/>
          <w:sz w:val="24"/>
          <w:highlight w:val="none"/>
          <w:lang w:val="en-US" w:eastAsia="zh-CN"/>
        </w:rPr>
        <w:t>乙方在本合同中，向甲方提供的保函应当符合以下要求：</w:t>
      </w:r>
    </w:p>
    <w:p>
      <w:pPr>
        <w:keepNext w:val="0"/>
        <w:keepLines w:val="0"/>
        <w:pageBreakBefore w:val="0"/>
        <w:widowControl w:val="0"/>
        <w:numPr>
          <w:ilvl w:val="0"/>
          <w:numId w:val="1"/>
        </w:numPr>
        <w:kinsoku/>
        <w:wordWrap/>
        <w:overflowPunct/>
        <w:topLinePunct w:val="0"/>
        <w:autoSpaceDE/>
        <w:autoSpaceDN/>
        <w:bidi w:val="0"/>
        <w:spacing w:line="360" w:lineRule="auto"/>
        <w:ind w:firstLine="480" w:firstLineChars="200"/>
        <w:contextualSpacing/>
        <w:textAlignment w:val="auto"/>
        <w:rPr>
          <w:rFonts w:hint="eastAsia" w:ascii="宋体" w:hAnsi="宋体"/>
          <w:sz w:val="24"/>
          <w:highlight w:val="none"/>
          <w:lang w:val="en-US" w:eastAsia="zh-CN"/>
        </w:rPr>
      </w:pPr>
      <w:r>
        <w:rPr>
          <w:rFonts w:hint="eastAsia" w:ascii="宋体" w:hAnsi="宋体"/>
          <w:sz w:val="24"/>
          <w:highlight w:val="none"/>
          <w:lang w:val="en-US" w:eastAsia="zh-CN"/>
        </w:rPr>
        <w:t>乙方提供的保函应当符合甲方规定的保函模板格式。</w:t>
      </w:r>
    </w:p>
    <w:p>
      <w:pPr>
        <w:keepNext w:val="0"/>
        <w:keepLines w:val="0"/>
        <w:pageBreakBefore w:val="0"/>
        <w:widowControl w:val="0"/>
        <w:numPr>
          <w:ilvl w:val="0"/>
          <w:numId w:val="1"/>
        </w:numPr>
        <w:kinsoku/>
        <w:wordWrap/>
        <w:overflowPunct/>
        <w:topLinePunct w:val="0"/>
        <w:autoSpaceDE/>
        <w:autoSpaceDN/>
        <w:bidi w:val="0"/>
        <w:spacing w:line="360" w:lineRule="auto"/>
        <w:ind w:firstLine="480" w:firstLineChars="200"/>
        <w:contextualSpacing/>
        <w:textAlignment w:val="auto"/>
        <w:rPr>
          <w:rFonts w:hint="eastAsia" w:ascii="宋体" w:hAnsi="宋体"/>
          <w:sz w:val="24"/>
          <w:highlight w:val="none"/>
          <w:lang w:val="en-US" w:eastAsia="zh-CN"/>
        </w:rPr>
      </w:pPr>
      <w:r>
        <w:rPr>
          <w:rFonts w:hint="eastAsia" w:ascii="宋体" w:hAnsi="宋体"/>
          <w:sz w:val="24"/>
          <w:highlight w:val="none"/>
          <w:lang w:val="en-US" w:eastAsia="zh-CN"/>
        </w:rPr>
        <w:t>保函的担保金额应当与甲方需支付的金额相等。</w:t>
      </w:r>
    </w:p>
    <w:p>
      <w:pPr>
        <w:keepNext w:val="0"/>
        <w:keepLines w:val="0"/>
        <w:pageBreakBefore w:val="0"/>
        <w:widowControl w:val="0"/>
        <w:numPr>
          <w:ilvl w:val="0"/>
          <w:numId w:val="1"/>
        </w:numPr>
        <w:kinsoku/>
        <w:wordWrap/>
        <w:overflowPunct/>
        <w:topLinePunct w:val="0"/>
        <w:autoSpaceDE/>
        <w:autoSpaceDN/>
        <w:bidi w:val="0"/>
        <w:spacing w:line="360" w:lineRule="auto"/>
        <w:ind w:firstLine="480" w:firstLineChars="200"/>
        <w:contextualSpacing/>
        <w:textAlignment w:val="auto"/>
        <w:rPr>
          <w:rFonts w:hint="eastAsia" w:ascii="宋体" w:hAnsi="宋体"/>
          <w:sz w:val="24"/>
          <w:highlight w:val="none"/>
          <w:lang w:val="en-US" w:eastAsia="zh-CN"/>
        </w:rPr>
      </w:pPr>
      <w:r>
        <w:rPr>
          <w:rFonts w:hint="eastAsia" w:ascii="宋体" w:hAnsi="宋体"/>
          <w:sz w:val="24"/>
          <w:highlight w:val="none"/>
          <w:lang w:val="en-US" w:eastAsia="zh-CN"/>
        </w:rPr>
        <w:t>保函应当是不可撤销独立保函或甲方认可的其他凭证，保函需见索即付。</w:t>
      </w:r>
    </w:p>
    <w:p>
      <w:pPr>
        <w:keepNext w:val="0"/>
        <w:keepLines w:val="0"/>
        <w:pageBreakBefore w:val="0"/>
        <w:widowControl w:val="0"/>
        <w:numPr>
          <w:ilvl w:val="0"/>
          <w:numId w:val="1"/>
        </w:numPr>
        <w:kinsoku/>
        <w:wordWrap/>
        <w:overflowPunct/>
        <w:topLinePunct w:val="0"/>
        <w:autoSpaceDE/>
        <w:autoSpaceDN/>
        <w:bidi w:val="0"/>
        <w:spacing w:line="360" w:lineRule="auto"/>
        <w:ind w:firstLine="480" w:firstLineChars="200"/>
        <w:contextualSpacing/>
        <w:textAlignment w:val="auto"/>
        <w:rPr>
          <w:rFonts w:hint="eastAsia" w:ascii="宋体" w:hAnsi="宋体"/>
          <w:sz w:val="24"/>
          <w:highlight w:val="none"/>
          <w:lang w:val="en-US" w:eastAsia="zh-CN"/>
        </w:rPr>
      </w:pPr>
      <w:r>
        <w:rPr>
          <w:rFonts w:hint="eastAsia" w:ascii="宋体" w:hAnsi="宋体"/>
          <w:sz w:val="24"/>
          <w:highlight w:val="none"/>
          <w:lang w:val="en-US" w:eastAsia="zh-CN"/>
        </w:rPr>
        <w:t>若乙方提供的保函（或其他担保措施）有效期到期前40日内，仍未安装验收合格或保函（或其他担保措施）担保的义务或责任没有履行，乙方应当及时更新保函（或其他担保措施），并将新的保函（或其他担保措施）送至甲方指定位置。甲方保留在保函（或其他担保措施）有效期到期前30日内向担保方索付的权利（或采取其他有效措施保护自身权利）。</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default"/>
          <w:b/>
          <w:highlight w:val="none"/>
        </w:rPr>
      </w:pPr>
      <w:r>
        <w:rPr>
          <w:rStyle w:val="16"/>
          <w:rFonts w:hint="eastAsia"/>
          <w:b/>
          <w:highlight w:val="none"/>
          <w:lang w:val="en-US" w:eastAsia="zh-CN"/>
        </w:rPr>
        <w:t>十一</w:t>
      </w:r>
      <w:r>
        <w:rPr>
          <w:rStyle w:val="16"/>
          <w:rFonts w:hint="default"/>
          <w:b/>
          <w:highlight w:val="none"/>
        </w:rPr>
        <w:t>、违约责任</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color w:val="auto"/>
          <w:highlight w:val="none"/>
        </w:rPr>
      </w:pPr>
      <w:r>
        <w:rPr>
          <w:rStyle w:val="16"/>
          <w:rFonts w:hint="default"/>
          <w:color w:val="auto"/>
          <w:highlight w:val="none"/>
        </w:rPr>
        <w:t>（一）如乙方供货期超过合同约定供货期限。如果乙方由于自身的原因未能按期履行完合同，乙方应向甲方支付合同价款总额</w:t>
      </w:r>
      <w:r>
        <w:rPr>
          <w:rStyle w:val="16"/>
          <w:rFonts w:hint="eastAsia"/>
          <w:color w:val="auto"/>
          <w:highlight w:val="none"/>
          <w:lang w:val="en-US" w:eastAsia="zh-CN"/>
        </w:rPr>
        <w:t>2.5</w:t>
      </w:r>
      <w:r>
        <w:rPr>
          <w:rStyle w:val="16"/>
          <w:rFonts w:hint="default"/>
          <w:color w:val="auto"/>
          <w:highlight w:val="none"/>
        </w:rPr>
        <w:t>%的违约金，甲方可从履约保证金中直接扣除。其标准为按每延期一周收取合同金额的</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 xml:space="preserve"> </w:t>
      </w:r>
      <w:r>
        <w:rPr>
          <w:rStyle w:val="16"/>
          <w:rFonts w:hint="default"/>
          <w:color w:val="auto"/>
          <w:highlight w:val="none"/>
        </w:rPr>
        <w:t xml:space="preserve"> %，但误期违约金总额不得超过总货款的</w:t>
      </w:r>
      <w:r>
        <w:rPr>
          <w:rStyle w:val="16"/>
          <w:rFonts w:hint="eastAsia"/>
          <w:color w:val="auto"/>
          <w:highlight w:val="none"/>
          <w:lang w:val="en-US" w:eastAsia="zh-CN"/>
        </w:rPr>
        <w:t>2.5</w:t>
      </w:r>
      <w:r>
        <w:rPr>
          <w:rStyle w:val="16"/>
          <w:rFonts w:hint="default"/>
          <w:color w:val="auto"/>
          <w:highlight w:val="none"/>
        </w:rPr>
        <w:t>%。一周按 7 天计算，不足 7 天按一周计算。</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eastAsia="宋体"/>
          <w:highlight w:val="none"/>
          <w:lang w:val="en-US" w:eastAsia="zh-CN"/>
        </w:rPr>
      </w:pPr>
      <w:r>
        <w:rPr>
          <w:rStyle w:val="16"/>
          <w:rFonts w:hint="default"/>
          <w:highlight w:val="none"/>
        </w:rPr>
        <w:t>（二）乙方供货期内未能交货。乙方在履行合同过程中，如果遇到不能按时交货情况，应及时以书面形式将不能按期履行合同的理由、延误的时间通知甲方。甲方在收到乙方通知后，有权决定是否延长合同的履行时间或终止合同。如甲方同意延长合同的履行时间，乙方必须在甲方规定的时间内提供符合质量标准的产品，由此造成的误期违约金按照前款约定执行。</w:t>
      </w:r>
      <w:r>
        <w:rPr>
          <w:rStyle w:val="16"/>
          <w:rFonts w:hint="eastAsia"/>
          <w:highlight w:val="none"/>
          <w:lang w:val="en-US" w:eastAsia="zh-CN"/>
        </w:rPr>
        <w:t>如甲方终止合同的，乙方除需按照前款约定支付误期违约金，还需承担甲方重新招投标等产生的全部损失。</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（三）乙方交货不符合合同质量标准，乙方必须重新提供符合质量标准的产品，由此造成的误期违约金按照前款约定执行。</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四）乙方提供假冒伪劣产品，擅自变更、中止或者终止合同的，甲方有权终止合同，并将提请政府采购监管部门对乙方进行采购金额千分之五的罚款，列入不良行为记录名单，在一至三年内禁止参加政府采购活动。</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（五）甲方未能按时组织验收，由财政部门责令限期改正，给予警告，对直接负责的主管人员和其他直接责任人员，由其行政主管部门给予处分，并予通报。</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（六）</w:t>
      </w:r>
      <w:r>
        <w:rPr>
          <w:rFonts w:hint="eastAsia" w:ascii="宋体" w:hAnsi="宋体" w:eastAsia="宋体" w:cs="宋体"/>
          <w:color w:val="000000"/>
          <w:sz w:val="24"/>
          <w:szCs w:val="24"/>
          <w:highlight w:val="none"/>
        </w:rPr>
        <w:t>乙方不及时、全面地履行后期服务的，应立即改正，否则，可要求乙方按照合同总金额每日0.2﹪向甲方支付违约金，并要求乙方承担损失赔偿责任。</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（七）验收合格后，甲方未能按时提请付款。由财政部门责令限期改正，给予警告。</w:t>
      </w:r>
    </w:p>
    <w:p>
      <w:pPr>
        <w:spacing w:line="360" w:lineRule="auto"/>
        <w:ind w:firstLine="480" w:firstLineChars="200"/>
        <w:contextualSpacing/>
        <w:rPr>
          <w:rStyle w:val="16"/>
          <w:rFonts w:hint="eastAsia"/>
          <w:highlight w:val="none"/>
          <w:lang w:eastAsia="zh-CN"/>
        </w:rPr>
      </w:pPr>
      <w:r>
        <w:rPr>
          <w:rStyle w:val="16"/>
          <w:rFonts w:hint="default"/>
          <w:highlight w:val="none"/>
        </w:rPr>
        <w:t>（八）甲方擅自变更、中止或者终止合同，由财政部门责令限期改正，给予警告，对直接负责的主管人员和其他直接责任人员，由其行政主管部门给予处分，并予通报</w:t>
      </w:r>
      <w:r>
        <w:rPr>
          <w:rStyle w:val="16"/>
          <w:rFonts w:hint="eastAsia"/>
          <w:highlight w:val="none"/>
          <w:lang w:eastAsia="zh-CN"/>
        </w:rPr>
        <w:t>。</w:t>
      </w:r>
    </w:p>
    <w:p>
      <w:pPr>
        <w:spacing w:line="360" w:lineRule="auto"/>
        <w:ind w:firstLine="480" w:firstLineChars="200"/>
        <w:contextualSpacing/>
        <w:rPr>
          <w:rStyle w:val="16"/>
          <w:rFonts w:hint="eastAsia"/>
          <w:highlight w:val="none"/>
          <w:lang w:val="en-US" w:eastAsia="zh-CN"/>
        </w:rPr>
      </w:pPr>
      <w:r>
        <w:rPr>
          <w:rStyle w:val="16"/>
          <w:rFonts w:hint="eastAsia"/>
          <w:highlight w:val="none"/>
          <w:lang w:eastAsia="zh-CN"/>
        </w:rPr>
        <w:t>（</w:t>
      </w:r>
      <w:r>
        <w:rPr>
          <w:rStyle w:val="16"/>
          <w:rFonts w:hint="eastAsia"/>
          <w:highlight w:val="none"/>
          <w:lang w:val="en-US" w:eastAsia="zh-CN"/>
        </w:rPr>
        <w:t>九</w:t>
      </w:r>
      <w:r>
        <w:rPr>
          <w:rStyle w:val="16"/>
          <w:rFonts w:hint="eastAsia"/>
          <w:highlight w:val="none"/>
          <w:lang w:eastAsia="zh-CN"/>
        </w:rPr>
        <w:t>）</w:t>
      </w:r>
      <w:r>
        <w:rPr>
          <w:rStyle w:val="16"/>
          <w:rFonts w:hint="eastAsia"/>
          <w:highlight w:val="none"/>
          <w:lang w:val="en-US" w:eastAsia="zh-CN"/>
        </w:rPr>
        <w:t>乙方违反廉洁协议的，甲方有权解除本合同，并要求乙方按本合同总金额的20%向甲方支付违约金。</w:t>
      </w:r>
    </w:p>
    <w:p>
      <w:pPr>
        <w:spacing w:line="360" w:lineRule="auto"/>
        <w:ind w:firstLine="480" w:firstLineChars="200"/>
        <w:contextualSpacing/>
        <w:rPr>
          <w:rFonts w:hint="eastAsia" w:ascii="宋体" w:hAnsi="宋体" w:eastAsia="宋体" w:cs="宋体"/>
          <w:color w:val="000000"/>
          <w:sz w:val="24"/>
          <w:szCs w:val="24"/>
          <w:highlight w:val="none"/>
        </w:rPr>
      </w:pPr>
      <w:r>
        <w:rPr>
          <w:rStyle w:val="16"/>
          <w:rFonts w:hint="eastAsia" w:ascii="宋体" w:hAnsi="宋体" w:eastAsia="宋体" w:cs="宋体"/>
          <w:highlight w:val="none"/>
          <w:lang w:val="en-US" w:eastAsia="zh-CN"/>
        </w:rPr>
        <w:t>（十）</w:t>
      </w:r>
      <w:r>
        <w:rPr>
          <w:rFonts w:hint="eastAsia" w:ascii="宋体" w:hAnsi="宋体" w:eastAsia="宋体" w:cs="宋体"/>
          <w:color w:val="000000"/>
          <w:sz w:val="24"/>
          <w:szCs w:val="24"/>
          <w:highlight w:val="none"/>
        </w:rPr>
        <w:t>合同执行过程中因服务需要，甲方向乙方提供的信息或者乙方获取的信息，包括但不限于技术性信息、商业性信息、文件、数据以及患者的个人信息、其他专有信息等，只能由乙方及其工作人员为本合同目的而使用。除本合同另有规定外，对于甲方提供的任何信息，未经甲方的书面同意，乙方及其知悉信息的人员均不得直接或间接的以任何方式提供或披露给任何第三方，</w:t>
      </w:r>
      <w:r>
        <w:rPr>
          <w:rFonts w:hint="eastAsia" w:ascii="宋体" w:hAnsi="宋体" w:eastAsia="宋体" w:cs="宋体"/>
          <w:color w:val="000000"/>
          <w:sz w:val="24"/>
          <w:szCs w:val="24"/>
          <w:highlight w:val="none"/>
          <w:lang w:val="en-US" w:eastAsia="zh-CN"/>
        </w:rPr>
        <w:t>否则</w:t>
      </w:r>
      <w:r>
        <w:rPr>
          <w:rFonts w:hint="eastAsia" w:ascii="宋体" w:hAnsi="宋体" w:eastAsia="宋体" w:cs="宋体"/>
          <w:color w:val="000000"/>
          <w:sz w:val="24"/>
          <w:szCs w:val="24"/>
          <w:highlight w:val="none"/>
        </w:rPr>
        <w:t>，乙方须承担违约责任。</w:t>
      </w:r>
    </w:p>
    <w:p>
      <w:pPr>
        <w:spacing w:line="360" w:lineRule="auto"/>
        <w:ind w:firstLine="480" w:firstLineChars="200"/>
        <w:contextualSpacing/>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（十一）</w:t>
      </w:r>
      <w:r>
        <w:rPr>
          <w:rFonts w:hint="eastAsia" w:ascii="宋体" w:hAnsi="宋体" w:eastAsia="宋体" w:cs="宋体"/>
          <w:color w:val="000000"/>
          <w:sz w:val="24"/>
          <w:szCs w:val="24"/>
          <w:highlight w:val="none"/>
          <w:lang w:val="en-US" w:eastAsia="zh-CN"/>
        </w:rPr>
        <w:t>乙方未及时提供或替换已到期保函（</w:t>
      </w:r>
      <w:r>
        <w:rPr>
          <w:rFonts w:hint="eastAsia" w:ascii="宋体" w:hAnsi="宋体" w:cs="宋体"/>
          <w:color w:val="000000"/>
          <w:sz w:val="24"/>
          <w:szCs w:val="24"/>
          <w:highlight w:val="none"/>
          <w:lang w:val="en-US" w:eastAsia="zh-CN"/>
        </w:rPr>
        <w:t>或其他担保措施</w:t>
      </w:r>
      <w:r>
        <w:rPr>
          <w:rFonts w:hint="eastAsia" w:ascii="宋体" w:hAnsi="宋体" w:eastAsia="宋体" w:cs="宋体"/>
          <w:color w:val="000000"/>
          <w:sz w:val="24"/>
          <w:szCs w:val="24"/>
          <w:highlight w:val="none"/>
          <w:lang w:val="en-US" w:eastAsia="zh-CN"/>
        </w:rPr>
        <w:t>）</w:t>
      </w:r>
      <w:r>
        <w:rPr>
          <w:rFonts w:hint="eastAsia" w:ascii="宋体" w:hAnsi="宋体" w:cs="宋体"/>
          <w:color w:val="000000"/>
          <w:sz w:val="24"/>
          <w:szCs w:val="24"/>
          <w:highlight w:val="none"/>
          <w:lang w:val="en-US" w:eastAsia="zh-CN"/>
        </w:rPr>
        <w:t>，乙方每逾期一日按甲方已支付价款的0.1%承担违约金，由此</w:t>
      </w:r>
      <w:r>
        <w:rPr>
          <w:rFonts w:hint="eastAsia" w:ascii="宋体" w:hAnsi="宋体" w:eastAsia="宋体" w:cs="宋体"/>
          <w:color w:val="000000"/>
          <w:sz w:val="24"/>
          <w:szCs w:val="24"/>
          <w:highlight w:val="none"/>
          <w:lang w:val="en-US" w:eastAsia="zh-CN"/>
        </w:rPr>
        <w:t>造成甲方的一切损失由乙方承担。</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eastAsia" w:eastAsia="宋体"/>
          <w:b/>
          <w:highlight w:val="none"/>
          <w:lang w:eastAsia="zh-CN"/>
        </w:rPr>
      </w:pPr>
      <w:r>
        <w:rPr>
          <w:rStyle w:val="16"/>
          <w:rFonts w:hint="default"/>
          <w:b/>
          <w:highlight w:val="none"/>
        </w:rPr>
        <w:t>十</w:t>
      </w:r>
      <w:r>
        <w:rPr>
          <w:rStyle w:val="16"/>
          <w:rFonts w:hint="eastAsia"/>
          <w:b/>
          <w:highlight w:val="none"/>
          <w:lang w:val="en-US" w:eastAsia="zh-CN"/>
        </w:rPr>
        <w:t>二</w:t>
      </w:r>
      <w:r>
        <w:rPr>
          <w:rStyle w:val="16"/>
          <w:rFonts w:hint="default"/>
          <w:b/>
          <w:highlight w:val="none"/>
        </w:rPr>
        <w:t>、 签约地点</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本合同在</w:t>
      </w:r>
      <w:r>
        <w:rPr>
          <w:rFonts w:hint="eastAsia" w:ascii="宋体" w:hAnsi="宋体"/>
          <w:sz w:val="24"/>
          <w:szCs w:val="24"/>
          <w:highlight w:val="none"/>
          <w:u w:val="single"/>
        </w:rPr>
        <w:t xml:space="preserve">  安徽省合肥市</w:t>
      </w:r>
      <w:r>
        <w:rPr>
          <w:rFonts w:hint="eastAsia" w:ascii="宋体" w:hAnsi="宋体"/>
          <w:sz w:val="24"/>
          <w:szCs w:val="24"/>
          <w:highlight w:val="none"/>
          <w:u w:val="single"/>
          <w:lang w:val="en-US" w:eastAsia="zh-CN"/>
        </w:rPr>
        <w:t>庐阳区</w:t>
      </w:r>
      <w:r>
        <w:rPr>
          <w:rFonts w:hint="eastAsia" w:ascii="宋体" w:hAnsi="宋体"/>
          <w:sz w:val="24"/>
          <w:szCs w:val="24"/>
          <w:highlight w:val="none"/>
          <w:u w:val="single"/>
        </w:rPr>
        <w:t xml:space="preserve">  </w:t>
      </w:r>
      <w:r>
        <w:rPr>
          <w:rStyle w:val="16"/>
          <w:rFonts w:hint="default"/>
          <w:highlight w:val="none"/>
        </w:rPr>
        <w:t>签订。</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eastAsia" w:eastAsia="宋体"/>
          <w:b/>
          <w:highlight w:val="none"/>
          <w:lang w:eastAsia="zh-CN"/>
        </w:rPr>
      </w:pPr>
      <w:r>
        <w:rPr>
          <w:rStyle w:val="16"/>
          <w:rFonts w:hint="default"/>
          <w:b/>
          <w:highlight w:val="none"/>
        </w:rPr>
        <w:t>十</w:t>
      </w:r>
      <w:r>
        <w:rPr>
          <w:rStyle w:val="16"/>
          <w:rFonts w:hint="eastAsia"/>
          <w:b/>
          <w:highlight w:val="none"/>
          <w:lang w:val="en-US" w:eastAsia="zh-CN"/>
        </w:rPr>
        <w:t>三</w:t>
      </w:r>
      <w:r>
        <w:rPr>
          <w:rStyle w:val="16"/>
          <w:rFonts w:hint="default"/>
          <w:b/>
          <w:highlight w:val="none"/>
        </w:rPr>
        <w:t>、 合同的终止</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（一）本合同因下列原因而终止：</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1、本合同正常履行完毕；</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2、合同双方协议终止本合同的履行；</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3、不可抗力事件导致本合同无法履行或履行不必要；</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4、符合本合同约定的其他终止合同的条款。</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（二）对本合同终止有过错的一方应赔偿另一方因合同终止而受到的损失。对合同终止双方均无过错的，则各自承担所受到的损失。</w:t>
      </w:r>
    </w:p>
    <w:p>
      <w:pPr>
        <w:keepNext w:val="0"/>
        <w:keepLines w:val="0"/>
        <w:pageBreakBefore w:val="0"/>
        <w:widowControl w:val="0"/>
        <w:kinsoku/>
        <w:wordWrap/>
        <w:overflowPunct/>
        <w:topLinePunct w:val="0"/>
        <w:autoSpaceDE/>
        <w:autoSpaceDN/>
        <w:bidi w:val="0"/>
        <w:spacing w:line="360" w:lineRule="auto"/>
        <w:ind w:firstLine="482" w:firstLineChars="200"/>
        <w:contextualSpacing/>
        <w:textAlignment w:val="auto"/>
        <w:rPr>
          <w:rStyle w:val="16"/>
          <w:rFonts w:hint="eastAsia" w:eastAsia="宋体"/>
          <w:b/>
          <w:highlight w:val="none"/>
          <w:lang w:eastAsia="zh-CN"/>
        </w:rPr>
      </w:pPr>
      <w:r>
        <w:rPr>
          <w:rStyle w:val="16"/>
          <w:rFonts w:hint="default"/>
          <w:b/>
          <w:highlight w:val="none"/>
        </w:rPr>
        <w:t>十</w:t>
      </w:r>
      <w:r>
        <w:rPr>
          <w:rStyle w:val="16"/>
          <w:rFonts w:hint="eastAsia"/>
          <w:b/>
          <w:highlight w:val="none"/>
          <w:lang w:val="en-US" w:eastAsia="zh-CN"/>
        </w:rPr>
        <w:t>四</w:t>
      </w:r>
      <w:r>
        <w:rPr>
          <w:rStyle w:val="16"/>
          <w:rFonts w:hint="default"/>
          <w:b/>
          <w:highlight w:val="none"/>
        </w:rPr>
        <w:t>、 其他</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（一）甲乙双方必须严格按照采购文件、投标文件及有关承诺签订采购合同，不得擅自变更。合同执行期内，甲乙双方均不得随意变更或解除合同。</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（二）本合同执行期间，如遇不可抗力，致使合同无法履行时，甲乙双方应按有关法律规定及时协商处理。</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r>
        <w:rPr>
          <w:rStyle w:val="16"/>
          <w:rFonts w:hint="default"/>
          <w:highlight w:val="none"/>
        </w:rPr>
        <w:t>（三）合同未尽事宜，甲乙双方另行签订补充协议，补充协议是合同的组成部分。</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（四）本合同如发生纠纷，甲乙双方应当及时协商解决，协商不成时，按以下第（①）项方式处理：</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①根据《中华人民共和国仲裁法》的规定向</w:t>
      </w:r>
      <w:r>
        <w:rPr>
          <w:rFonts w:hint="eastAsia" w:ascii="宋体" w:hAnsi="宋体"/>
          <w:sz w:val="24"/>
          <w:szCs w:val="24"/>
          <w:highlight w:val="none"/>
          <w:u w:val="single"/>
        </w:rPr>
        <w:t xml:space="preserve">  合肥仲裁委员会 </w:t>
      </w:r>
      <w:r>
        <w:rPr>
          <w:rStyle w:val="16"/>
          <w:rFonts w:hint="default"/>
          <w:highlight w:val="none"/>
        </w:rPr>
        <w:t>申请仲裁。</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highlight w:val="none"/>
        </w:rPr>
      </w:pPr>
      <w:r>
        <w:rPr>
          <w:rStyle w:val="16"/>
          <w:rFonts w:hint="default"/>
          <w:highlight w:val="none"/>
        </w:rPr>
        <w:t>②向</w:t>
      </w:r>
      <w:r>
        <w:rPr>
          <w:rFonts w:hint="eastAsia" w:ascii="宋体" w:hAnsi="宋体"/>
          <w:sz w:val="24"/>
          <w:szCs w:val="24"/>
          <w:highlight w:val="none"/>
          <w:u w:val="single"/>
        </w:rPr>
        <w:t xml:space="preserve">  合肥市庐阳区  </w:t>
      </w:r>
      <w:r>
        <w:rPr>
          <w:rStyle w:val="16"/>
          <w:rFonts w:hint="default"/>
          <w:highlight w:val="none"/>
        </w:rPr>
        <w:t>人民法院起诉。</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default" w:cstheme="minorBidi"/>
          <w:highlight w:val="none"/>
        </w:rPr>
      </w:pPr>
      <w:r>
        <w:rPr>
          <w:rStyle w:val="16"/>
          <w:rFonts w:hint="eastAsia" w:cstheme="minorBidi"/>
          <w:highlight w:val="none"/>
          <w:lang w:eastAsia="zh-CN"/>
        </w:rPr>
        <w:t>（</w:t>
      </w:r>
      <w:r>
        <w:rPr>
          <w:rStyle w:val="16"/>
          <w:rFonts w:hint="eastAsia" w:cstheme="minorBidi"/>
          <w:highlight w:val="none"/>
          <w:lang w:val="en-US" w:eastAsia="zh-CN"/>
        </w:rPr>
        <w:t>五</w:t>
      </w:r>
      <w:r>
        <w:rPr>
          <w:rStyle w:val="16"/>
          <w:rFonts w:hint="eastAsia" w:cstheme="minorBidi"/>
          <w:highlight w:val="none"/>
          <w:lang w:eastAsia="zh-CN"/>
        </w:rPr>
        <w:t>）</w:t>
      </w:r>
      <w:r>
        <w:rPr>
          <w:rStyle w:val="16"/>
          <w:rFonts w:hint="default" w:cstheme="minorBidi"/>
          <w:highlight w:val="none"/>
        </w:rPr>
        <w:t>本合同一式肆份，甲方执叁份，乙方执壹份。本合同</w:t>
      </w:r>
      <w:r>
        <w:rPr>
          <w:rStyle w:val="16"/>
          <w:rFonts w:hint="eastAsia" w:cstheme="minorBidi"/>
          <w:highlight w:val="none"/>
        </w:rPr>
        <w:t>由乙方完成签字盖章后，提交甲方签字盖章，自双方代表均签字盖章完成之日起生效。</w:t>
      </w:r>
    </w:p>
    <w:p>
      <w:pPr>
        <w:keepNext w:val="0"/>
        <w:keepLines w:val="0"/>
        <w:pageBreakBefore w:val="0"/>
        <w:widowControl w:val="0"/>
        <w:kinsoku/>
        <w:wordWrap/>
        <w:overflowPunct/>
        <w:topLinePunct w:val="0"/>
        <w:autoSpaceDE/>
        <w:autoSpaceDN/>
        <w:bidi w:val="0"/>
        <w:spacing w:line="360" w:lineRule="auto"/>
        <w:ind w:firstLine="480" w:firstLineChars="200"/>
        <w:contextualSpacing/>
        <w:textAlignment w:val="auto"/>
        <w:rPr>
          <w:rStyle w:val="16"/>
          <w:rFonts w:hint="eastAsia" w:eastAsia="宋体"/>
          <w:highlight w:val="none"/>
          <w:lang w:eastAsia="zh-CN"/>
        </w:rPr>
      </w:pPr>
    </w:p>
    <w:p>
      <w:pPr>
        <w:keepNext w:val="0"/>
        <w:keepLines w:val="0"/>
        <w:pageBreakBefore w:val="0"/>
        <w:widowControl w:val="0"/>
        <w:kinsoku/>
        <w:wordWrap/>
        <w:overflowPunct/>
        <w:topLinePunct w:val="0"/>
        <w:autoSpaceDE/>
        <w:autoSpaceDN/>
        <w:bidi w:val="0"/>
        <w:spacing w:line="360" w:lineRule="auto"/>
        <w:ind w:firstLine="0" w:firstLineChars="0"/>
        <w:contextualSpacing/>
        <w:textAlignment w:val="auto"/>
        <w:rPr>
          <w:rFonts w:hint="eastAsia" w:ascii="宋体" w:hAnsi="宋体" w:eastAsia="宋体"/>
          <w:sz w:val="24"/>
          <w:szCs w:val="24"/>
          <w:highlight w:val="none"/>
          <w:u w:val="single"/>
          <w:lang w:eastAsia="zh-CN"/>
        </w:rPr>
      </w:pPr>
      <w:r>
        <w:rPr>
          <w:rStyle w:val="16"/>
          <w:rFonts w:hint="default"/>
          <w:highlight w:val="none"/>
        </w:rPr>
        <w:t>甲 方：</w:t>
      </w:r>
      <w:r>
        <w:rPr>
          <w:rStyle w:val="16"/>
          <w:rFonts w:hint="default"/>
          <w:highlight w:val="none"/>
          <w:u w:val="single"/>
        </w:rPr>
        <w:t>中国科大附一院（</w:t>
      </w:r>
      <w:r>
        <w:rPr>
          <w:rFonts w:hint="eastAsia" w:ascii="宋体" w:hAnsi="宋体"/>
          <w:sz w:val="24"/>
          <w:szCs w:val="24"/>
          <w:highlight w:val="none"/>
          <w:u w:val="single"/>
        </w:rPr>
        <w:t>安徽省立医院）</w:t>
      </w:r>
      <w:r>
        <w:rPr>
          <w:rStyle w:val="16"/>
          <w:rFonts w:hint="default"/>
          <w:highlight w:val="none"/>
        </w:rPr>
        <w:t xml:space="preserve">    乙 方：</w:t>
      </w:r>
      <w:r>
        <w:rPr>
          <w:rFonts w:hint="eastAsia" w:ascii="宋体" w:hAnsi="宋体"/>
          <w:sz w:val="24"/>
          <w:szCs w:val="24"/>
          <w:highlight w:val="none"/>
          <w:u w:val="single"/>
        </w:rPr>
        <w:t xml:space="preserve">                        </w:t>
      </w:r>
    </w:p>
    <w:p>
      <w:pPr>
        <w:pStyle w:val="13"/>
        <w:rPr>
          <w:rFonts w:hint="eastAsia"/>
          <w:highlight w:val="none"/>
          <w:lang w:eastAsia="zh-CN"/>
        </w:rPr>
      </w:pPr>
    </w:p>
    <w:p>
      <w:pPr>
        <w:keepNext w:val="0"/>
        <w:keepLines w:val="0"/>
        <w:pageBreakBefore w:val="0"/>
        <w:widowControl w:val="0"/>
        <w:kinsoku/>
        <w:wordWrap/>
        <w:overflowPunct/>
        <w:topLinePunct w:val="0"/>
        <w:autoSpaceDE/>
        <w:autoSpaceDN/>
        <w:bidi w:val="0"/>
        <w:spacing w:line="360" w:lineRule="auto"/>
        <w:contextualSpacing/>
        <w:textAlignment w:val="auto"/>
        <w:rPr>
          <w:rStyle w:val="16"/>
          <w:rFonts w:hint="eastAsia" w:eastAsia="宋体"/>
          <w:highlight w:val="none"/>
          <w:lang w:eastAsia="zh-CN"/>
        </w:rPr>
      </w:pPr>
      <w:r>
        <w:rPr>
          <w:rStyle w:val="16"/>
          <w:rFonts w:hint="default"/>
          <w:highlight w:val="none"/>
        </w:rPr>
        <w:t xml:space="preserve">单位盖章：                          </w:t>
      </w:r>
      <w:r>
        <w:rPr>
          <w:rStyle w:val="16"/>
          <w:rFonts w:hint="eastAsia"/>
          <w:highlight w:val="none"/>
          <w:lang w:val="en-US" w:eastAsia="zh-CN"/>
        </w:rPr>
        <w:t xml:space="preserve">     </w:t>
      </w:r>
      <w:r>
        <w:rPr>
          <w:rStyle w:val="16"/>
          <w:rFonts w:hint="default"/>
          <w:highlight w:val="none"/>
        </w:rPr>
        <w:t>单位盖章：</w:t>
      </w:r>
    </w:p>
    <w:p>
      <w:pPr>
        <w:pStyle w:val="13"/>
        <w:rPr>
          <w:rFonts w:hint="eastAsia"/>
          <w:highlight w:val="none"/>
          <w:lang w:eastAsia="zh-CN"/>
        </w:rPr>
      </w:pPr>
    </w:p>
    <w:p>
      <w:pPr>
        <w:keepNext w:val="0"/>
        <w:keepLines w:val="0"/>
        <w:pageBreakBefore w:val="0"/>
        <w:widowControl w:val="0"/>
        <w:kinsoku/>
        <w:wordWrap/>
        <w:overflowPunct/>
        <w:topLinePunct w:val="0"/>
        <w:autoSpaceDE/>
        <w:autoSpaceDN/>
        <w:bidi w:val="0"/>
        <w:spacing w:line="360" w:lineRule="auto"/>
        <w:contextualSpacing/>
        <w:textAlignment w:val="auto"/>
        <w:rPr>
          <w:rStyle w:val="16"/>
          <w:rFonts w:hint="eastAsia" w:eastAsia="宋体"/>
          <w:highlight w:val="none"/>
          <w:lang w:eastAsia="zh-CN"/>
        </w:rPr>
      </w:pPr>
      <w:r>
        <w:rPr>
          <w:rStyle w:val="16"/>
          <w:rFonts w:hint="default"/>
          <w:highlight w:val="none"/>
        </w:rPr>
        <w:t xml:space="preserve">法定代表人或委托代理人：            </w:t>
      </w:r>
      <w:r>
        <w:rPr>
          <w:rStyle w:val="16"/>
          <w:rFonts w:hint="eastAsia"/>
          <w:highlight w:val="none"/>
          <w:lang w:val="en-US" w:eastAsia="zh-CN"/>
        </w:rPr>
        <w:t xml:space="preserve">     </w:t>
      </w:r>
      <w:r>
        <w:rPr>
          <w:rStyle w:val="16"/>
          <w:rFonts w:hint="default"/>
          <w:highlight w:val="none"/>
        </w:rPr>
        <w:t>法定代表人或委托代理人：</w:t>
      </w:r>
    </w:p>
    <w:p>
      <w:pPr>
        <w:keepNext w:val="0"/>
        <w:keepLines w:val="0"/>
        <w:pageBreakBefore w:val="0"/>
        <w:widowControl w:val="0"/>
        <w:kinsoku/>
        <w:wordWrap/>
        <w:overflowPunct/>
        <w:topLinePunct w:val="0"/>
        <w:autoSpaceDE/>
        <w:autoSpaceDN/>
        <w:bidi w:val="0"/>
        <w:spacing w:line="360" w:lineRule="auto"/>
        <w:contextualSpacing/>
        <w:textAlignment w:val="auto"/>
        <w:rPr>
          <w:rStyle w:val="16"/>
          <w:rFonts w:hint="default"/>
          <w:highlight w:val="none"/>
        </w:rPr>
      </w:pPr>
      <w:r>
        <w:rPr>
          <w:rStyle w:val="16"/>
          <w:rFonts w:hint="default"/>
          <w:highlight w:val="none"/>
        </w:rPr>
        <w:t xml:space="preserve">  </w:t>
      </w:r>
    </w:p>
    <w:p>
      <w:pPr>
        <w:keepNext w:val="0"/>
        <w:keepLines w:val="0"/>
        <w:pageBreakBefore w:val="0"/>
        <w:widowControl w:val="0"/>
        <w:kinsoku/>
        <w:wordWrap/>
        <w:overflowPunct/>
        <w:topLinePunct w:val="0"/>
        <w:autoSpaceDE/>
        <w:autoSpaceDN/>
        <w:bidi w:val="0"/>
        <w:spacing w:line="360" w:lineRule="auto"/>
        <w:contextualSpacing/>
        <w:textAlignment w:val="auto"/>
        <w:rPr>
          <w:rStyle w:val="16"/>
          <w:rFonts w:hint="eastAsia" w:eastAsia="宋体"/>
          <w:highlight w:val="none"/>
          <w:lang w:eastAsia="zh-CN"/>
        </w:rPr>
      </w:pPr>
      <w:r>
        <w:rPr>
          <w:rStyle w:val="16"/>
          <w:rFonts w:hint="default"/>
          <w:highlight w:val="none"/>
        </w:rPr>
        <w:t xml:space="preserve">日 期：                             </w:t>
      </w:r>
      <w:r>
        <w:rPr>
          <w:rStyle w:val="16"/>
          <w:rFonts w:hint="eastAsia"/>
          <w:highlight w:val="none"/>
          <w:lang w:val="en-US" w:eastAsia="zh-CN"/>
        </w:rPr>
        <w:t xml:space="preserve">     </w:t>
      </w:r>
      <w:r>
        <w:rPr>
          <w:rStyle w:val="16"/>
          <w:rFonts w:hint="default"/>
          <w:highlight w:val="none"/>
        </w:rPr>
        <w:t>日 期:</w:t>
      </w:r>
    </w:p>
    <w:p>
      <w:pPr>
        <w:pStyle w:val="13"/>
        <w:rPr>
          <w:rFonts w:hint="eastAsia"/>
          <w:highlight w:val="none"/>
          <w:lang w:eastAsia="zh-CN"/>
        </w:rPr>
      </w:pPr>
    </w:p>
    <w:p>
      <w:pPr>
        <w:keepNext w:val="0"/>
        <w:keepLines w:val="0"/>
        <w:pageBreakBefore w:val="0"/>
        <w:widowControl w:val="0"/>
        <w:kinsoku/>
        <w:wordWrap/>
        <w:overflowPunct/>
        <w:topLinePunct w:val="0"/>
        <w:autoSpaceDE/>
        <w:autoSpaceDN/>
        <w:bidi w:val="0"/>
        <w:spacing w:line="360" w:lineRule="auto"/>
        <w:textAlignment w:val="auto"/>
        <w:rPr>
          <w:highlight w:val="none"/>
        </w:rPr>
      </w:pPr>
      <w:r>
        <w:rPr>
          <w:rFonts w:hint="eastAsia"/>
          <w:highlight w:val="none"/>
        </w:rPr>
        <w:t xml:space="preserve">                                         </w:t>
      </w:r>
      <w:r>
        <w:rPr>
          <w:rFonts w:hint="eastAsia"/>
          <w:highlight w:val="none"/>
          <w:lang w:val="en-US" w:eastAsia="zh-CN"/>
        </w:rPr>
        <w:t xml:space="preserve">      </w:t>
      </w:r>
      <w:r>
        <w:rPr>
          <w:rStyle w:val="16"/>
          <w:rFonts w:hint="default"/>
          <w:highlight w:val="none"/>
        </w:rPr>
        <w:t>联系电话：</w:t>
      </w:r>
    </w:p>
    <w:p>
      <w:pPr>
        <w:widowControl/>
        <w:jc w:val="left"/>
        <w:rPr>
          <w:rFonts w:ascii="Arial" w:hAnsi="Arial" w:eastAsia="黑体"/>
          <w:b/>
          <w:bCs/>
          <w:sz w:val="32"/>
          <w:szCs w:val="32"/>
          <w:highlight w:val="none"/>
        </w:rPr>
      </w:pPr>
      <w:r>
        <w:rPr>
          <w:highlight w:val="none"/>
        </w:rPr>
        <w:br w:type="page"/>
      </w:r>
    </w:p>
    <w:p>
      <w:pPr>
        <w:rPr>
          <w:rFonts w:ascii="黑体" w:hAnsi="黑体" w:eastAsia="黑体"/>
          <w:sz w:val="22"/>
          <w:highlight w:val="none"/>
        </w:rPr>
      </w:pPr>
      <w:r>
        <w:rPr>
          <w:rFonts w:hint="eastAsia" w:ascii="黑体" w:hAnsi="黑体" w:eastAsia="黑体"/>
          <w:sz w:val="22"/>
          <w:highlight w:val="none"/>
        </w:rPr>
        <w:t>附件1  配置清单（或装箱清单）</w:t>
      </w:r>
    </w:p>
    <w:tbl>
      <w:tblPr>
        <w:tblStyle w:val="11"/>
        <w:tblW w:w="10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050"/>
        <w:gridCol w:w="1069"/>
        <w:gridCol w:w="1412"/>
        <w:gridCol w:w="993"/>
        <w:gridCol w:w="991"/>
        <w:gridCol w:w="1610"/>
        <w:gridCol w:w="85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74"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序号</w:t>
            </w:r>
          </w:p>
        </w:tc>
        <w:tc>
          <w:tcPr>
            <w:tcW w:w="1050"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color w:val="000000"/>
                <w:sz w:val="20"/>
                <w:szCs w:val="20"/>
                <w:highlight w:val="none"/>
                <w:lang w:val="en-US" w:eastAsia="zh-CN"/>
              </w:rPr>
              <w:t>招标中产品的名称</w:t>
            </w:r>
          </w:p>
        </w:tc>
        <w:tc>
          <w:tcPr>
            <w:tcW w:w="1069" w:type="dxa"/>
            <w:tcBorders>
              <w:top w:val="single" w:color="auto" w:sz="4" w:space="0"/>
            </w:tcBorders>
            <w:shd w:val="clear" w:color="auto" w:fill="auto"/>
            <w:noWrap/>
            <w:vAlign w:val="center"/>
          </w:tcPr>
          <w:p>
            <w:pPr>
              <w:spacing w:line="0" w:lineRule="atLeast"/>
              <w:jc w:val="center"/>
              <w:rPr>
                <w:rFonts w:hint="eastAsia" w:ascii="黑体" w:hAnsi="黑体" w:eastAsia="黑体"/>
                <w:szCs w:val="21"/>
                <w:highlight w:val="none"/>
              </w:rPr>
            </w:pPr>
            <w:r>
              <w:rPr>
                <w:rFonts w:hint="eastAsia" w:ascii="黑体" w:hAnsi="黑体" w:eastAsia="黑体"/>
                <w:szCs w:val="21"/>
                <w:highlight w:val="none"/>
                <w:lang w:val="en-US" w:eastAsia="zh-CN"/>
              </w:rPr>
              <w:t>产品的</w:t>
            </w:r>
            <w:r>
              <w:rPr>
                <w:rFonts w:hint="eastAsia" w:ascii="黑体" w:hAnsi="黑体" w:eastAsia="黑体"/>
                <w:szCs w:val="21"/>
                <w:highlight w:val="none"/>
              </w:rPr>
              <w:t>注册证名称</w:t>
            </w:r>
          </w:p>
        </w:tc>
        <w:tc>
          <w:tcPr>
            <w:tcW w:w="1412" w:type="dxa"/>
            <w:tcBorders>
              <w:top w:val="single" w:color="auto" w:sz="4" w:space="0"/>
            </w:tcBorders>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注册证号及起止日期</w:t>
            </w:r>
          </w:p>
        </w:tc>
        <w:tc>
          <w:tcPr>
            <w:tcW w:w="993"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品牌</w:t>
            </w:r>
          </w:p>
        </w:tc>
        <w:tc>
          <w:tcPr>
            <w:tcW w:w="991" w:type="dxa"/>
            <w:tcBorders>
              <w:top w:val="single" w:color="auto" w:sz="4" w:space="0"/>
            </w:tcBorders>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产地</w:t>
            </w:r>
          </w:p>
        </w:tc>
        <w:tc>
          <w:tcPr>
            <w:tcW w:w="1610"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规格型号</w:t>
            </w:r>
          </w:p>
        </w:tc>
        <w:tc>
          <w:tcPr>
            <w:tcW w:w="850"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单位</w:t>
            </w:r>
          </w:p>
        </w:tc>
        <w:tc>
          <w:tcPr>
            <w:tcW w:w="1418"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74" w:type="dxa"/>
            <w:shd w:val="clear" w:color="auto" w:fill="auto"/>
            <w:noWrap/>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1</w:t>
            </w:r>
          </w:p>
        </w:tc>
        <w:tc>
          <w:tcPr>
            <w:tcW w:w="1050"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c>
          <w:tcPr>
            <w:tcW w:w="1069" w:type="dxa"/>
            <w:shd w:val="clear" w:color="auto" w:fill="auto"/>
            <w:vAlign w:val="center"/>
          </w:tcPr>
          <w:p>
            <w:pPr>
              <w:widowControl/>
              <w:jc w:val="center"/>
              <w:rPr>
                <w:rFonts w:hint="eastAsia" w:ascii="宋体" w:hAnsi="宋体" w:cs="宋体"/>
                <w:kern w:val="0"/>
                <w:sz w:val="20"/>
                <w:highlight w:val="none"/>
              </w:rPr>
            </w:pPr>
          </w:p>
        </w:tc>
        <w:tc>
          <w:tcPr>
            <w:tcW w:w="1412" w:type="dxa"/>
            <w:vAlign w:val="center"/>
          </w:tcPr>
          <w:p>
            <w:pPr>
              <w:widowControl/>
              <w:jc w:val="center"/>
              <w:rPr>
                <w:rFonts w:ascii="宋体" w:hAnsi="宋体" w:cs="宋体"/>
                <w:kern w:val="0"/>
                <w:sz w:val="20"/>
                <w:highlight w:val="none"/>
              </w:rPr>
            </w:pPr>
          </w:p>
        </w:tc>
        <w:tc>
          <w:tcPr>
            <w:tcW w:w="993"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c>
          <w:tcPr>
            <w:tcW w:w="991" w:type="dxa"/>
            <w:vAlign w:val="center"/>
          </w:tcPr>
          <w:p>
            <w:pPr>
              <w:widowControl/>
              <w:jc w:val="center"/>
              <w:rPr>
                <w:rFonts w:ascii="宋体" w:hAnsi="宋体" w:cs="宋体"/>
                <w:kern w:val="0"/>
                <w:sz w:val="20"/>
                <w:highlight w:val="none"/>
              </w:rPr>
            </w:pPr>
          </w:p>
        </w:tc>
        <w:tc>
          <w:tcPr>
            <w:tcW w:w="1610"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c>
          <w:tcPr>
            <w:tcW w:w="850"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c>
          <w:tcPr>
            <w:tcW w:w="1418"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r>
    </w:tbl>
    <w:p>
      <w:pPr>
        <w:rPr>
          <w:rFonts w:ascii="黑体" w:hAnsi="黑体" w:eastAsia="黑体"/>
          <w:sz w:val="22"/>
          <w:highlight w:val="none"/>
        </w:rPr>
      </w:pPr>
      <w:r>
        <w:rPr>
          <w:rFonts w:hint="eastAsia" w:ascii="黑体" w:hAnsi="黑体" w:eastAsia="黑体"/>
          <w:sz w:val="22"/>
          <w:highlight w:val="none"/>
        </w:rPr>
        <w:t>附件2  配套试剂</w:t>
      </w:r>
    </w:p>
    <w:tbl>
      <w:tblPr>
        <w:tblStyle w:val="11"/>
        <w:tblW w:w="11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9"/>
        <w:gridCol w:w="657"/>
        <w:gridCol w:w="814"/>
        <w:gridCol w:w="1134"/>
        <w:gridCol w:w="709"/>
        <w:gridCol w:w="567"/>
        <w:gridCol w:w="567"/>
        <w:gridCol w:w="657"/>
        <w:gridCol w:w="941"/>
        <w:gridCol w:w="812"/>
        <w:gridCol w:w="851"/>
        <w:gridCol w:w="708"/>
        <w:gridCol w:w="567"/>
        <w:gridCol w:w="709"/>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9" w:type="dxa"/>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序号</w:t>
            </w:r>
          </w:p>
        </w:tc>
        <w:tc>
          <w:tcPr>
            <w:tcW w:w="657" w:type="dxa"/>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lang w:val="en-US" w:eastAsia="zh-CN"/>
              </w:rPr>
              <w:t>招标中产品的名称</w:t>
            </w:r>
          </w:p>
        </w:tc>
        <w:tc>
          <w:tcPr>
            <w:tcW w:w="814" w:type="dxa"/>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lang w:val="en-US" w:eastAsia="zh-CN"/>
              </w:rPr>
              <w:t>产品的</w:t>
            </w:r>
            <w:r>
              <w:rPr>
                <w:rFonts w:hint="eastAsia" w:ascii="黑体" w:hAnsi="黑体" w:eastAsia="黑体"/>
                <w:color w:val="000000"/>
                <w:sz w:val="18"/>
                <w:szCs w:val="18"/>
                <w:highlight w:val="none"/>
              </w:rPr>
              <w:t>注册证名称</w:t>
            </w:r>
          </w:p>
        </w:tc>
        <w:tc>
          <w:tcPr>
            <w:tcW w:w="1134" w:type="dxa"/>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注册证号及起止日期</w:t>
            </w:r>
          </w:p>
        </w:tc>
        <w:tc>
          <w:tcPr>
            <w:tcW w:w="709" w:type="dxa"/>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品牌</w:t>
            </w:r>
          </w:p>
        </w:tc>
        <w:tc>
          <w:tcPr>
            <w:tcW w:w="567" w:type="dxa"/>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产地</w:t>
            </w:r>
          </w:p>
        </w:tc>
        <w:tc>
          <w:tcPr>
            <w:tcW w:w="567" w:type="dxa"/>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规格型号</w:t>
            </w:r>
          </w:p>
        </w:tc>
        <w:tc>
          <w:tcPr>
            <w:tcW w:w="657" w:type="dxa"/>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最小包装单位</w:t>
            </w:r>
          </w:p>
        </w:tc>
        <w:tc>
          <w:tcPr>
            <w:tcW w:w="941" w:type="dxa"/>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最小包装人份数（人份）</w:t>
            </w:r>
          </w:p>
        </w:tc>
        <w:tc>
          <w:tcPr>
            <w:tcW w:w="812" w:type="dxa"/>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最小包装单价（元）</w:t>
            </w:r>
          </w:p>
        </w:tc>
        <w:tc>
          <w:tcPr>
            <w:tcW w:w="851" w:type="dxa"/>
            <w:tcMar>
              <w:left w:w="57" w:type="dxa"/>
              <w:right w:w="57" w:type="dxa"/>
            </w:tcMar>
            <w:vAlign w:val="center"/>
          </w:tcPr>
          <w:p>
            <w:pPr>
              <w:jc w:val="center"/>
              <w:rPr>
                <w:rFonts w:ascii="黑体" w:hAnsi="黑体" w:eastAsia="黑体"/>
                <w:b/>
                <w:color w:val="FF0000"/>
                <w:sz w:val="18"/>
                <w:szCs w:val="18"/>
                <w:highlight w:val="none"/>
              </w:rPr>
            </w:pPr>
            <w:r>
              <w:rPr>
                <w:rFonts w:hint="eastAsia" w:ascii="黑体" w:hAnsi="黑体" w:eastAsia="黑体"/>
                <w:color w:val="000000"/>
                <w:sz w:val="18"/>
                <w:szCs w:val="18"/>
                <w:highlight w:val="none"/>
              </w:rPr>
              <w:t>每人份价格（元）</w:t>
            </w:r>
          </w:p>
        </w:tc>
        <w:tc>
          <w:tcPr>
            <w:tcW w:w="708" w:type="dxa"/>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是否集采</w:t>
            </w:r>
          </w:p>
        </w:tc>
        <w:tc>
          <w:tcPr>
            <w:tcW w:w="567" w:type="dxa"/>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集采流水号</w:t>
            </w:r>
          </w:p>
        </w:tc>
        <w:tc>
          <w:tcPr>
            <w:tcW w:w="709" w:type="dxa"/>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集采价格</w:t>
            </w:r>
          </w:p>
        </w:tc>
        <w:tc>
          <w:tcPr>
            <w:tcW w:w="809" w:type="dxa"/>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9" w:type="dxa"/>
            <w:tcMar>
              <w:left w:w="57" w:type="dxa"/>
              <w:right w:w="57" w:type="dxa"/>
            </w:tcMar>
            <w:vAlign w:val="center"/>
          </w:tcPr>
          <w:p>
            <w:pPr>
              <w:jc w:val="center"/>
              <w:rPr>
                <w:rFonts w:ascii="宋体" w:hAnsi="宋体"/>
                <w:color w:val="000000"/>
                <w:szCs w:val="32"/>
                <w:highlight w:val="none"/>
              </w:rPr>
            </w:pPr>
            <w:r>
              <w:rPr>
                <w:rFonts w:hint="eastAsia" w:ascii="宋体" w:hAnsi="宋体"/>
                <w:color w:val="000000"/>
                <w:szCs w:val="32"/>
                <w:highlight w:val="none"/>
              </w:rPr>
              <w:t>1</w:t>
            </w:r>
          </w:p>
        </w:tc>
        <w:tc>
          <w:tcPr>
            <w:tcW w:w="657" w:type="dxa"/>
            <w:tcMar>
              <w:left w:w="57" w:type="dxa"/>
              <w:right w:w="57" w:type="dxa"/>
            </w:tcMar>
            <w:vAlign w:val="center"/>
          </w:tcPr>
          <w:p>
            <w:pPr>
              <w:jc w:val="center"/>
              <w:rPr>
                <w:b/>
                <w:color w:val="000000"/>
                <w:szCs w:val="32"/>
                <w:highlight w:val="none"/>
              </w:rPr>
            </w:pPr>
          </w:p>
        </w:tc>
        <w:tc>
          <w:tcPr>
            <w:tcW w:w="814" w:type="dxa"/>
            <w:tcMar>
              <w:left w:w="57" w:type="dxa"/>
              <w:right w:w="57" w:type="dxa"/>
            </w:tcMar>
            <w:vAlign w:val="center"/>
          </w:tcPr>
          <w:p>
            <w:pPr>
              <w:jc w:val="center"/>
              <w:rPr>
                <w:b/>
                <w:color w:val="000000"/>
                <w:szCs w:val="32"/>
                <w:highlight w:val="none"/>
              </w:rPr>
            </w:pPr>
          </w:p>
        </w:tc>
        <w:tc>
          <w:tcPr>
            <w:tcW w:w="1134" w:type="dxa"/>
            <w:tcMar>
              <w:left w:w="57" w:type="dxa"/>
              <w:right w:w="57" w:type="dxa"/>
            </w:tcMar>
            <w:vAlign w:val="center"/>
          </w:tcPr>
          <w:p>
            <w:pPr>
              <w:jc w:val="center"/>
              <w:rPr>
                <w:b/>
                <w:color w:val="000000"/>
                <w:szCs w:val="32"/>
                <w:highlight w:val="none"/>
              </w:rPr>
            </w:pPr>
          </w:p>
        </w:tc>
        <w:tc>
          <w:tcPr>
            <w:tcW w:w="709" w:type="dxa"/>
            <w:tcMar>
              <w:left w:w="57" w:type="dxa"/>
              <w:right w:w="57" w:type="dxa"/>
            </w:tcMar>
            <w:vAlign w:val="center"/>
          </w:tcPr>
          <w:p>
            <w:pPr>
              <w:jc w:val="center"/>
              <w:rPr>
                <w:b/>
                <w:color w:val="000000"/>
                <w:szCs w:val="32"/>
                <w:highlight w:val="none"/>
              </w:rPr>
            </w:pPr>
          </w:p>
        </w:tc>
        <w:tc>
          <w:tcPr>
            <w:tcW w:w="567" w:type="dxa"/>
            <w:vAlign w:val="center"/>
          </w:tcPr>
          <w:p>
            <w:pPr>
              <w:jc w:val="center"/>
              <w:rPr>
                <w:b/>
                <w:color w:val="000000"/>
                <w:szCs w:val="32"/>
                <w:highlight w:val="none"/>
              </w:rPr>
            </w:pPr>
          </w:p>
        </w:tc>
        <w:tc>
          <w:tcPr>
            <w:tcW w:w="567" w:type="dxa"/>
            <w:tcMar>
              <w:left w:w="57" w:type="dxa"/>
              <w:right w:w="57" w:type="dxa"/>
            </w:tcMar>
            <w:vAlign w:val="center"/>
          </w:tcPr>
          <w:p>
            <w:pPr>
              <w:jc w:val="center"/>
              <w:rPr>
                <w:b/>
                <w:color w:val="000000"/>
                <w:szCs w:val="32"/>
                <w:highlight w:val="none"/>
              </w:rPr>
            </w:pPr>
          </w:p>
        </w:tc>
        <w:tc>
          <w:tcPr>
            <w:tcW w:w="657" w:type="dxa"/>
            <w:tcMar>
              <w:left w:w="57" w:type="dxa"/>
              <w:right w:w="57" w:type="dxa"/>
            </w:tcMar>
            <w:vAlign w:val="center"/>
          </w:tcPr>
          <w:p>
            <w:pPr>
              <w:jc w:val="center"/>
              <w:rPr>
                <w:b/>
                <w:color w:val="000000"/>
                <w:szCs w:val="32"/>
                <w:highlight w:val="none"/>
              </w:rPr>
            </w:pPr>
          </w:p>
        </w:tc>
        <w:tc>
          <w:tcPr>
            <w:tcW w:w="941" w:type="dxa"/>
            <w:tcMar>
              <w:left w:w="57" w:type="dxa"/>
              <w:right w:w="57" w:type="dxa"/>
            </w:tcMar>
            <w:vAlign w:val="center"/>
          </w:tcPr>
          <w:p>
            <w:pPr>
              <w:jc w:val="center"/>
              <w:rPr>
                <w:b/>
                <w:color w:val="000000"/>
                <w:szCs w:val="32"/>
                <w:highlight w:val="none"/>
              </w:rPr>
            </w:pPr>
          </w:p>
        </w:tc>
        <w:tc>
          <w:tcPr>
            <w:tcW w:w="812" w:type="dxa"/>
            <w:tcMar>
              <w:left w:w="57" w:type="dxa"/>
              <w:right w:w="57" w:type="dxa"/>
            </w:tcMar>
            <w:vAlign w:val="center"/>
          </w:tcPr>
          <w:p>
            <w:pPr>
              <w:jc w:val="center"/>
              <w:rPr>
                <w:color w:val="000000"/>
                <w:szCs w:val="32"/>
                <w:highlight w:val="none"/>
              </w:rPr>
            </w:pPr>
          </w:p>
        </w:tc>
        <w:tc>
          <w:tcPr>
            <w:tcW w:w="851" w:type="dxa"/>
            <w:tcMar>
              <w:left w:w="57" w:type="dxa"/>
              <w:right w:w="57" w:type="dxa"/>
            </w:tcMar>
            <w:vAlign w:val="center"/>
          </w:tcPr>
          <w:p>
            <w:pPr>
              <w:jc w:val="center"/>
              <w:rPr>
                <w:color w:val="000000"/>
                <w:szCs w:val="32"/>
                <w:highlight w:val="none"/>
              </w:rPr>
            </w:pPr>
          </w:p>
        </w:tc>
        <w:tc>
          <w:tcPr>
            <w:tcW w:w="708" w:type="dxa"/>
            <w:tcMar>
              <w:left w:w="57" w:type="dxa"/>
              <w:right w:w="57" w:type="dxa"/>
            </w:tcMar>
            <w:vAlign w:val="center"/>
          </w:tcPr>
          <w:p>
            <w:pPr>
              <w:jc w:val="center"/>
              <w:rPr>
                <w:color w:val="000000"/>
                <w:szCs w:val="32"/>
                <w:highlight w:val="none"/>
              </w:rPr>
            </w:pPr>
          </w:p>
        </w:tc>
        <w:tc>
          <w:tcPr>
            <w:tcW w:w="567" w:type="dxa"/>
            <w:tcMar>
              <w:left w:w="57" w:type="dxa"/>
              <w:right w:w="57" w:type="dxa"/>
            </w:tcMar>
            <w:vAlign w:val="center"/>
          </w:tcPr>
          <w:p>
            <w:pPr>
              <w:jc w:val="center"/>
              <w:rPr>
                <w:color w:val="000000"/>
                <w:szCs w:val="32"/>
                <w:highlight w:val="none"/>
              </w:rPr>
            </w:pPr>
          </w:p>
        </w:tc>
        <w:tc>
          <w:tcPr>
            <w:tcW w:w="709" w:type="dxa"/>
            <w:tcMar>
              <w:left w:w="57" w:type="dxa"/>
              <w:right w:w="57" w:type="dxa"/>
            </w:tcMar>
            <w:vAlign w:val="center"/>
          </w:tcPr>
          <w:p>
            <w:pPr>
              <w:jc w:val="center"/>
              <w:rPr>
                <w:color w:val="000000"/>
                <w:szCs w:val="32"/>
                <w:highlight w:val="none"/>
              </w:rPr>
            </w:pPr>
          </w:p>
        </w:tc>
        <w:tc>
          <w:tcPr>
            <w:tcW w:w="809" w:type="dxa"/>
            <w:tcMar>
              <w:left w:w="57" w:type="dxa"/>
              <w:right w:w="57" w:type="dxa"/>
            </w:tcMar>
            <w:vAlign w:val="center"/>
          </w:tcPr>
          <w:p>
            <w:pPr>
              <w:jc w:val="center"/>
              <w:rPr>
                <w:color w:val="00000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21" w:type="dxa"/>
            <w:gridSpan w:val="15"/>
            <w:tcMar>
              <w:left w:w="57" w:type="dxa"/>
              <w:right w:w="57" w:type="dxa"/>
            </w:tcMar>
            <w:vAlign w:val="center"/>
          </w:tcPr>
          <w:p>
            <w:pPr>
              <w:jc w:val="left"/>
              <w:rPr>
                <w:rFonts w:ascii="宋体" w:hAnsi="宋体" w:cs="宋体"/>
                <w:bCs/>
                <w:kern w:val="0"/>
                <w:highlight w:val="none"/>
              </w:rPr>
            </w:pPr>
            <w:r>
              <w:rPr>
                <w:rFonts w:hint="eastAsia" w:ascii="宋体" w:hAnsi="宋体" w:cs="宋体"/>
                <w:b/>
                <w:kern w:val="0"/>
                <w:highlight w:val="none"/>
              </w:rPr>
              <w:t>备注：</w:t>
            </w:r>
            <w:r>
              <w:rPr>
                <w:rFonts w:hint="eastAsia"/>
                <w:b/>
                <w:color w:val="000000"/>
                <w:szCs w:val="32"/>
                <w:highlight w:val="none"/>
              </w:rPr>
              <w:t>试剂结算价格一律按照最小包装单价执行。</w:t>
            </w:r>
            <w:r>
              <w:rPr>
                <w:rFonts w:hint="eastAsia" w:ascii="宋体" w:hAnsi="宋体" w:cs="宋体"/>
                <w:b/>
                <w:kern w:val="0"/>
                <w:highlight w:val="none"/>
              </w:rPr>
              <w:t>另有约定的按实际约定执行，并在本备注中注明。</w:t>
            </w:r>
          </w:p>
        </w:tc>
      </w:tr>
    </w:tbl>
    <w:p>
      <w:pPr>
        <w:rPr>
          <w:rFonts w:ascii="黑体" w:hAnsi="黑体" w:eastAsia="黑体"/>
          <w:sz w:val="22"/>
          <w:highlight w:val="none"/>
        </w:rPr>
      </w:pPr>
      <w:r>
        <w:rPr>
          <w:rFonts w:hint="eastAsia" w:ascii="黑体" w:hAnsi="黑体" w:eastAsia="黑体"/>
          <w:sz w:val="22"/>
          <w:highlight w:val="none"/>
        </w:rPr>
        <w:t>附件3  配套耗材</w:t>
      </w:r>
    </w:p>
    <w:tbl>
      <w:tblPr>
        <w:tblStyle w:val="11"/>
        <w:tblW w:w="10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
        <w:gridCol w:w="831"/>
        <w:gridCol w:w="806"/>
        <w:gridCol w:w="1069"/>
        <w:gridCol w:w="534"/>
        <w:gridCol w:w="558"/>
        <w:gridCol w:w="558"/>
        <w:gridCol w:w="644"/>
        <w:gridCol w:w="1031"/>
        <w:gridCol w:w="779"/>
        <w:gridCol w:w="909"/>
        <w:gridCol w:w="651"/>
        <w:gridCol w:w="708"/>
        <w:gridCol w:w="567"/>
        <w:gridCol w:w="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511" w:type="dxa"/>
            <w:vMerge w:val="restart"/>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序号</w:t>
            </w:r>
          </w:p>
        </w:tc>
        <w:tc>
          <w:tcPr>
            <w:tcW w:w="831" w:type="dxa"/>
            <w:vMerge w:val="restart"/>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lang w:val="en-US" w:eastAsia="zh-CN"/>
              </w:rPr>
              <w:t>招标中产品的名称</w:t>
            </w:r>
          </w:p>
        </w:tc>
        <w:tc>
          <w:tcPr>
            <w:tcW w:w="806" w:type="dxa"/>
            <w:vMerge w:val="restart"/>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lang w:val="en-US" w:eastAsia="zh-CN"/>
              </w:rPr>
              <w:t>产品的</w:t>
            </w:r>
            <w:r>
              <w:rPr>
                <w:rFonts w:hint="eastAsia" w:ascii="黑体" w:hAnsi="黑体" w:eastAsia="黑体"/>
                <w:color w:val="000000"/>
                <w:sz w:val="18"/>
                <w:szCs w:val="18"/>
                <w:highlight w:val="none"/>
              </w:rPr>
              <w:t>注册证名称</w:t>
            </w:r>
          </w:p>
        </w:tc>
        <w:tc>
          <w:tcPr>
            <w:tcW w:w="1069" w:type="dxa"/>
            <w:vMerge w:val="restart"/>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注册证号及起止日期</w:t>
            </w:r>
          </w:p>
        </w:tc>
        <w:tc>
          <w:tcPr>
            <w:tcW w:w="534" w:type="dxa"/>
            <w:vMerge w:val="restart"/>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品牌</w:t>
            </w:r>
          </w:p>
        </w:tc>
        <w:tc>
          <w:tcPr>
            <w:tcW w:w="558" w:type="dxa"/>
            <w:vMerge w:val="restart"/>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产地</w:t>
            </w:r>
          </w:p>
        </w:tc>
        <w:tc>
          <w:tcPr>
            <w:tcW w:w="558" w:type="dxa"/>
            <w:vMerge w:val="restart"/>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规格型号</w:t>
            </w:r>
          </w:p>
        </w:tc>
        <w:tc>
          <w:tcPr>
            <w:tcW w:w="644" w:type="dxa"/>
            <w:vMerge w:val="restart"/>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最小包装单位</w:t>
            </w:r>
          </w:p>
        </w:tc>
        <w:tc>
          <w:tcPr>
            <w:tcW w:w="1031" w:type="dxa"/>
            <w:vMerge w:val="restart"/>
            <w:tcMar>
              <w:left w:w="57" w:type="dxa"/>
              <w:right w:w="57" w:type="dxa"/>
            </w:tcMar>
            <w:vAlign w:val="center"/>
          </w:tcPr>
          <w:p>
            <w:pPr>
              <w:jc w:val="center"/>
              <w:rPr>
                <w:rFonts w:hint="eastAsia" w:ascii="黑体" w:hAnsi="黑体" w:eastAsia="黑体"/>
                <w:color w:val="000000"/>
                <w:sz w:val="18"/>
                <w:szCs w:val="18"/>
                <w:highlight w:val="none"/>
              </w:rPr>
            </w:pPr>
            <w:r>
              <w:rPr>
                <w:rFonts w:hint="eastAsia" w:ascii="黑体" w:hAnsi="黑体" w:eastAsia="黑体"/>
                <w:color w:val="000000"/>
                <w:sz w:val="18"/>
                <w:szCs w:val="18"/>
                <w:highlight w:val="none"/>
              </w:rPr>
              <w:t>最小包装单价（元）</w:t>
            </w:r>
          </w:p>
        </w:tc>
        <w:tc>
          <w:tcPr>
            <w:tcW w:w="1688" w:type="dxa"/>
            <w:gridSpan w:val="2"/>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医保编码</w:t>
            </w:r>
          </w:p>
        </w:tc>
        <w:tc>
          <w:tcPr>
            <w:tcW w:w="651" w:type="dxa"/>
            <w:vMerge w:val="restart"/>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是否集采</w:t>
            </w:r>
          </w:p>
        </w:tc>
        <w:tc>
          <w:tcPr>
            <w:tcW w:w="708" w:type="dxa"/>
            <w:vMerge w:val="restart"/>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集采流水号</w:t>
            </w:r>
          </w:p>
        </w:tc>
        <w:tc>
          <w:tcPr>
            <w:tcW w:w="567" w:type="dxa"/>
            <w:vMerge w:val="restart"/>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集采价格</w:t>
            </w:r>
          </w:p>
        </w:tc>
        <w:tc>
          <w:tcPr>
            <w:tcW w:w="479" w:type="dxa"/>
            <w:vMerge w:val="restart"/>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511"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831"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806"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1069"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534"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558" w:type="dxa"/>
            <w:vMerge w:val="continue"/>
            <w:vAlign w:val="center"/>
          </w:tcPr>
          <w:p>
            <w:pPr>
              <w:jc w:val="center"/>
              <w:rPr>
                <w:rFonts w:ascii="黑体" w:hAnsi="黑体" w:eastAsia="黑体"/>
                <w:color w:val="000000"/>
                <w:sz w:val="18"/>
                <w:szCs w:val="18"/>
                <w:highlight w:val="none"/>
              </w:rPr>
            </w:pPr>
          </w:p>
        </w:tc>
        <w:tc>
          <w:tcPr>
            <w:tcW w:w="558"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644"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1031"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779" w:type="dxa"/>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前20位</w:t>
            </w:r>
          </w:p>
        </w:tc>
        <w:tc>
          <w:tcPr>
            <w:tcW w:w="909" w:type="dxa"/>
            <w:tcMar>
              <w:left w:w="57" w:type="dxa"/>
              <w:right w:w="57" w:type="dxa"/>
            </w:tcMar>
            <w:vAlign w:val="center"/>
          </w:tcPr>
          <w:p>
            <w:pPr>
              <w:jc w:val="center"/>
              <w:rPr>
                <w:rFonts w:ascii="黑体" w:hAnsi="黑体" w:eastAsia="黑体"/>
                <w:color w:val="000000"/>
                <w:sz w:val="18"/>
                <w:szCs w:val="18"/>
                <w:highlight w:val="none"/>
              </w:rPr>
            </w:pPr>
            <w:r>
              <w:rPr>
                <w:rFonts w:hint="eastAsia" w:ascii="黑体" w:hAnsi="黑体" w:eastAsia="黑体"/>
                <w:color w:val="000000"/>
                <w:sz w:val="18"/>
                <w:szCs w:val="18"/>
                <w:highlight w:val="none"/>
              </w:rPr>
              <w:t>后7位</w:t>
            </w:r>
          </w:p>
        </w:tc>
        <w:tc>
          <w:tcPr>
            <w:tcW w:w="651"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708"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567" w:type="dxa"/>
            <w:vMerge w:val="continue"/>
            <w:tcMar>
              <w:left w:w="57" w:type="dxa"/>
              <w:right w:w="57" w:type="dxa"/>
            </w:tcMar>
            <w:vAlign w:val="center"/>
          </w:tcPr>
          <w:p>
            <w:pPr>
              <w:jc w:val="center"/>
              <w:rPr>
                <w:rFonts w:ascii="黑体" w:hAnsi="黑体" w:eastAsia="黑体"/>
                <w:color w:val="000000"/>
                <w:sz w:val="18"/>
                <w:szCs w:val="18"/>
                <w:highlight w:val="none"/>
              </w:rPr>
            </w:pPr>
          </w:p>
        </w:tc>
        <w:tc>
          <w:tcPr>
            <w:tcW w:w="479" w:type="dxa"/>
            <w:vMerge w:val="continue"/>
            <w:tcMar>
              <w:left w:w="57" w:type="dxa"/>
              <w:right w:w="57" w:type="dxa"/>
            </w:tcMar>
            <w:vAlign w:val="center"/>
          </w:tcPr>
          <w:p>
            <w:pPr>
              <w:jc w:val="center"/>
              <w:rPr>
                <w:rFonts w:ascii="黑体" w:hAnsi="黑体" w:eastAsia="黑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1" w:type="dxa"/>
            <w:tcMar>
              <w:left w:w="57" w:type="dxa"/>
              <w:right w:w="57" w:type="dxa"/>
            </w:tcMar>
            <w:vAlign w:val="center"/>
          </w:tcPr>
          <w:p>
            <w:pPr>
              <w:jc w:val="center"/>
              <w:rPr>
                <w:rFonts w:ascii="宋体" w:hAnsi="宋体"/>
                <w:color w:val="000000"/>
                <w:szCs w:val="32"/>
                <w:highlight w:val="none"/>
              </w:rPr>
            </w:pPr>
            <w:r>
              <w:rPr>
                <w:rFonts w:hint="eastAsia" w:ascii="宋体" w:hAnsi="宋体"/>
                <w:color w:val="000000"/>
                <w:szCs w:val="32"/>
                <w:highlight w:val="none"/>
              </w:rPr>
              <w:t>1</w:t>
            </w:r>
          </w:p>
        </w:tc>
        <w:tc>
          <w:tcPr>
            <w:tcW w:w="831" w:type="dxa"/>
            <w:tcMar>
              <w:left w:w="57" w:type="dxa"/>
              <w:right w:w="57" w:type="dxa"/>
            </w:tcMar>
            <w:vAlign w:val="center"/>
          </w:tcPr>
          <w:p>
            <w:pPr>
              <w:jc w:val="center"/>
              <w:rPr>
                <w:b/>
                <w:color w:val="000000"/>
                <w:szCs w:val="32"/>
                <w:highlight w:val="none"/>
              </w:rPr>
            </w:pPr>
          </w:p>
        </w:tc>
        <w:tc>
          <w:tcPr>
            <w:tcW w:w="806" w:type="dxa"/>
            <w:tcMar>
              <w:left w:w="57" w:type="dxa"/>
              <w:right w:w="57" w:type="dxa"/>
            </w:tcMar>
            <w:vAlign w:val="center"/>
          </w:tcPr>
          <w:p>
            <w:pPr>
              <w:jc w:val="center"/>
              <w:rPr>
                <w:b/>
                <w:color w:val="000000"/>
                <w:szCs w:val="32"/>
                <w:highlight w:val="none"/>
              </w:rPr>
            </w:pPr>
          </w:p>
        </w:tc>
        <w:tc>
          <w:tcPr>
            <w:tcW w:w="1069" w:type="dxa"/>
            <w:tcMar>
              <w:left w:w="57" w:type="dxa"/>
              <w:right w:w="57" w:type="dxa"/>
            </w:tcMar>
            <w:vAlign w:val="center"/>
          </w:tcPr>
          <w:p>
            <w:pPr>
              <w:jc w:val="center"/>
              <w:rPr>
                <w:b/>
                <w:color w:val="000000"/>
                <w:szCs w:val="32"/>
                <w:highlight w:val="none"/>
              </w:rPr>
            </w:pPr>
          </w:p>
        </w:tc>
        <w:tc>
          <w:tcPr>
            <w:tcW w:w="534" w:type="dxa"/>
            <w:tcMar>
              <w:left w:w="57" w:type="dxa"/>
              <w:right w:w="57" w:type="dxa"/>
            </w:tcMar>
            <w:vAlign w:val="center"/>
          </w:tcPr>
          <w:p>
            <w:pPr>
              <w:jc w:val="center"/>
              <w:rPr>
                <w:b/>
                <w:color w:val="000000"/>
                <w:szCs w:val="32"/>
                <w:highlight w:val="none"/>
              </w:rPr>
            </w:pPr>
          </w:p>
        </w:tc>
        <w:tc>
          <w:tcPr>
            <w:tcW w:w="558" w:type="dxa"/>
            <w:vAlign w:val="center"/>
          </w:tcPr>
          <w:p>
            <w:pPr>
              <w:jc w:val="center"/>
              <w:rPr>
                <w:b/>
                <w:color w:val="000000"/>
                <w:szCs w:val="32"/>
                <w:highlight w:val="none"/>
              </w:rPr>
            </w:pPr>
          </w:p>
        </w:tc>
        <w:tc>
          <w:tcPr>
            <w:tcW w:w="558" w:type="dxa"/>
            <w:tcMar>
              <w:left w:w="57" w:type="dxa"/>
              <w:right w:w="57" w:type="dxa"/>
            </w:tcMar>
            <w:vAlign w:val="center"/>
          </w:tcPr>
          <w:p>
            <w:pPr>
              <w:jc w:val="center"/>
              <w:rPr>
                <w:b/>
                <w:color w:val="000000"/>
                <w:szCs w:val="32"/>
                <w:highlight w:val="none"/>
              </w:rPr>
            </w:pPr>
          </w:p>
        </w:tc>
        <w:tc>
          <w:tcPr>
            <w:tcW w:w="644" w:type="dxa"/>
            <w:tcMar>
              <w:left w:w="57" w:type="dxa"/>
              <w:right w:w="57" w:type="dxa"/>
            </w:tcMar>
            <w:vAlign w:val="center"/>
          </w:tcPr>
          <w:p>
            <w:pPr>
              <w:jc w:val="center"/>
              <w:rPr>
                <w:b/>
                <w:color w:val="000000"/>
                <w:szCs w:val="32"/>
                <w:highlight w:val="none"/>
              </w:rPr>
            </w:pPr>
          </w:p>
        </w:tc>
        <w:tc>
          <w:tcPr>
            <w:tcW w:w="1031" w:type="dxa"/>
            <w:tcMar>
              <w:left w:w="57" w:type="dxa"/>
              <w:right w:w="57" w:type="dxa"/>
            </w:tcMar>
            <w:vAlign w:val="center"/>
          </w:tcPr>
          <w:p>
            <w:pPr>
              <w:jc w:val="center"/>
              <w:rPr>
                <w:b/>
                <w:color w:val="000000"/>
                <w:szCs w:val="32"/>
                <w:highlight w:val="none"/>
              </w:rPr>
            </w:pPr>
          </w:p>
        </w:tc>
        <w:tc>
          <w:tcPr>
            <w:tcW w:w="779" w:type="dxa"/>
            <w:tcMar>
              <w:left w:w="57" w:type="dxa"/>
              <w:right w:w="57" w:type="dxa"/>
            </w:tcMar>
            <w:vAlign w:val="center"/>
          </w:tcPr>
          <w:p>
            <w:pPr>
              <w:jc w:val="center"/>
              <w:rPr>
                <w:color w:val="000000"/>
                <w:szCs w:val="32"/>
                <w:highlight w:val="none"/>
              </w:rPr>
            </w:pPr>
          </w:p>
        </w:tc>
        <w:tc>
          <w:tcPr>
            <w:tcW w:w="909" w:type="dxa"/>
            <w:vAlign w:val="center"/>
          </w:tcPr>
          <w:p>
            <w:pPr>
              <w:jc w:val="center"/>
              <w:rPr>
                <w:color w:val="000000"/>
                <w:szCs w:val="32"/>
                <w:highlight w:val="none"/>
              </w:rPr>
            </w:pPr>
          </w:p>
        </w:tc>
        <w:tc>
          <w:tcPr>
            <w:tcW w:w="651" w:type="dxa"/>
            <w:tcMar>
              <w:left w:w="57" w:type="dxa"/>
              <w:right w:w="57" w:type="dxa"/>
            </w:tcMar>
            <w:vAlign w:val="center"/>
          </w:tcPr>
          <w:p>
            <w:pPr>
              <w:jc w:val="center"/>
              <w:rPr>
                <w:color w:val="000000"/>
                <w:szCs w:val="32"/>
                <w:highlight w:val="none"/>
              </w:rPr>
            </w:pPr>
          </w:p>
        </w:tc>
        <w:tc>
          <w:tcPr>
            <w:tcW w:w="708" w:type="dxa"/>
            <w:tcMar>
              <w:left w:w="57" w:type="dxa"/>
              <w:right w:w="57" w:type="dxa"/>
            </w:tcMar>
            <w:vAlign w:val="center"/>
          </w:tcPr>
          <w:p>
            <w:pPr>
              <w:jc w:val="center"/>
              <w:rPr>
                <w:color w:val="000000"/>
                <w:szCs w:val="32"/>
                <w:highlight w:val="none"/>
              </w:rPr>
            </w:pPr>
          </w:p>
        </w:tc>
        <w:tc>
          <w:tcPr>
            <w:tcW w:w="567" w:type="dxa"/>
            <w:tcMar>
              <w:left w:w="57" w:type="dxa"/>
              <w:right w:w="57" w:type="dxa"/>
            </w:tcMar>
            <w:vAlign w:val="center"/>
          </w:tcPr>
          <w:p>
            <w:pPr>
              <w:jc w:val="center"/>
              <w:rPr>
                <w:color w:val="000000"/>
                <w:szCs w:val="32"/>
                <w:highlight w:val="none"/>
              </w:rPr>
            </w:pPr>
          </w:p>
        </w:tc>
        <w:tc>
          <w:tcPr>
            <w:tcW w:w="479" w:type="dxa"/>
            <w:tcMar>
              <w:left w:w="57" w:type="dxa"/>
              <w:right w:w="57" w:type="dxa"/>
            </w:tcMar>
            <w:vAlign w:val="center"/>
          </w:tcPr>
          <w:p>
            <w:pPr>
              <w:jc w:val="center"/>
              <w:rPr>
                <w:color w:val="00000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35" w:type="dxa"/>
            <w:gridSpan w:val="15"/>
            <w:tcMar>
              <w:left w:w="57" w:type="dxa"/>
              <w:right w:w="57" w:type="dxa"/>
            </w:tcMar>
            <w:vAlign w:val="center"/>
          </w:tcPr>
          <w:p>
            <w:pPr>
              <w:jc w:val="left"/>
              <w:rPr>
                <w:color w:val="000000"/>
                <w:szCs w:val="32"/>
                <w:highlight w:val="none"/>
              </w:rPr>
            </w:pPr>
            <w:r>
              <w:rPr>
                <w:rFonts w:hint="eastAsia" w:ascii="宋体" w:hAnsi="宋体"/>
                <w:color w:val="000000"/>
                <w:szCs w:val="32"/>
                <w:highlight w:val="none"/>
                <w:lang w:val="en-US" w:eastAsia="zh-CN"/>
              </w:rPr>
              <w:t>备</w:t>
            </w:r>
            <w:r>
              <w:rPr>
                <w:rFonts w:hint="eastAsia" w:ascii="宋体" w:hAnsi="宋体" w:cs="宋体"/>
                <w:b/>
                <w:kern w:val="0"/>
                <w:highlight w:val="none"/>
                <w:lang w:val="en-US" w:eastAsia="zh-CN"/>
              </w:rPr>
              <w:t>注：</w:t>
            </w:r>
            <w:r>
              <w:rPr>
                <w:rFonts w:hint="eastAsia" w:ascii="宋体" w:hAnsi="宋体" w:cs="宋体"/>
                <w:b/>
                <w:kern w:val="0"/>
                <w:highlight w:val="none"/>
              </w:rPr>
              <w:t>本表中试剂供应期按甲方管理规定（</w:t>
            </w:r>
            <w:r>
              <w:rPr>
                <w:rFonts w:hint="eastAsia" w:ascii="宋体" w:hAnsi="宋体" w:cs="宋体"/>
                <w:b/>
                <w:kern w:val="0"/>
                <w:highlight w:val="none"/>
                <w:lang w:val="en-US" w:eastAsia="zh-CN"/>
              </w:rPr>
              <w:t>不得超过3年</w:t>
            </w:r>
            <w:r>
              <w:rPr>
                <w:rFonts w:hint="eastAsia" w:ascii="宋体" w:hAnsi="宋体" w:cs="宋体"/>
                <w:b/>
                <w:kern w:val="0"/>
                <w:highlight w:val="none"/>
              </w:rPr>
              <w:t>，如有变化按甲方最新规定）执行，招标采购中另有约定的按实际约定执行。</w:t>
            </w:r>
          </w:p>
        </w:tc>
      </w:tr>
    </w:tbl>
    <w:p>
      <w:pPr>
        <w:rPr>
          <w:rFonts w:ascii="黑体" w:hAnsi="黑体" w:eastAsia="黑体"/>
          <w:sz w:val="22"/>
          <w:highlight w:val="none"/>
        </w:rPr>
      </w:pPr>
      <w:r>
        <w:rPr>
          <w:rFonts w:hint="eastAsia" w:ascii="黑体" w:hAnsi="黑体" w:eastAsia="黑体"/>
          <w:sz w:val="22"/>
          <w:highlight w:val="none"/>
        </w:rPr>
        <w:t>表</w:t>
      </w:r>
      <w:r>
        <w:rPr>
          <w:rFonts w:hint="eastAsia" w:ascii="黑体" w:hAnsi="黑体" w:eastAsia="黑体"/>
          <w:sz w:val="22"/>
          <w:highlight w:val="none"/>
          <w:lang w:val="en-US" w:eastAsia="zh-CN"/>
        </w:rPr>
        <w:t>4</w:t>
      </w:r>
      <w:r>
        <w:rPr>
          <w:rFonts w:hint="eastAsia" w:ascii="黑体" w:hAnsi="黑体" w:eastAsia="黑体"/>
          <w:sz w:val="22"/>
          <w:highlight w:val="none"/>
        </w:rPr>
        <w:t xml:space="preserve">  配套器械</w:t>
      </w:r>
    </w:p>
    <w:tbl>
      <w:tblPr>
        <w:tblStyle w:val="11"/>
        <w:tblW w:w="10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780"/>
        <w:gridCol w:w="780"/>
        <w:gridCol w:w="692"/>
        <w:gridCol w:w="816"/>
        <w:gridCol w:w="1069"/>
        <w:gridCol w:w="2101"/>
        <w:gridCol w:w="1204"/>
        <w:gridCol w:w="1264"/>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0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序号</w:t>
            </w:r>
          </w:p>
        </w:tc>
        <w:tc>
          <w:tcPr>
            <w:tcW w:w="78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ascii="黑体" w:hAnsi="黑体" w:eastAsia="黑体"/>
                <w:szCs w:val="21"/>
                <w:highlight w:val="none"/>
              </w:rPr>
            </w:pPr>
            <w:r>
              <w:rPr>
                <w:rFonts w:hint="eastAsia" w:ascii="黑体" w:hAnsi="黑体" w:eastAsia="黑体"/>
                <w:color w:val="000000"/>
                <w:sz w:val="18"/>
                <w:szCs w:val="18"/>
                <w:highlight w:val="none"/>
                <w:lang w:val="en-US" w:eastAsia="zh-CN"/>
              </w:rPr>
              <w:t>招标中产品的名称</w:t>
            </w:r>
          </w:p>
        </w:tc>
        <w:tc>
          <w:tcPr>
            <w:tcW w:w="78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center"/>
              <w:rPr>
                <w:rFonts w:hint="eastAsia" w:ascii="黑体" w:hAnsi="黑体" w:eastAsia="黑体"/>
                <w:szCs w:val="21"/>
                <w:highlight w:val="none"/>
              </w:rPr>
            </w:pPr>
            <w:r>
              <w:rPr>
                <w:rFonts w:hint="eastAsia" w:ascii="黑体" w:hAnsi="黑体" w:eastAsia="黑体"/>
                <w:color w:val="000000"/>
                <w:sz w:val="18"/>
                <w:szCs w:val="18"/>
                <w:highlight w:val="none"/>
                <w:lang w:val="en-US" w:eastAsia="zh-CN"/>
              </w:rPr>
              <w:t>产品的</w:t>
            </w:r>
            <w:r>
              <w:rPr>
                <w:rFonts w:hint="eastAsia" w:ascii="黑体" w:hAnsi="黑体" w:eastAsia="黑体"/>
                <w:color w:val="000000"/>
                <w:sz w:val="18"/>
                <w:szCs w:val="18"/>
                <w:highlight w:val="none"/>
              </w:rPr>
              <w:t>注册证名称</w:t>
            </w:r>
          </w:p>
        </w:tc>
        <w:tc>
          <w:tcPr>
            <w:tcW w:w="69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品牌</w:t>
            </w:r>
          </w:p>
        </w:tc>
        <w:tc>
          <w:tcPr>
            <w:tcW w:w="81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产地</w:t>
            </w:r>
          </w:p>
        </w:tc>
        <w:tc>
          <w:tcPr>
            <w:tcW w:w="106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规格型号</w:t>
            </w:r>
          </w:p>
        </w:tc>
        <w:tc>
          <w:tcPr>
            <w:tcW w:w="210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注册证号及注册起始结束日期</w:t>
            </w:r>
          </w:p>
        </w:tc>
        <w:tc>
          <w:tcPr>
            <w:tcW w:w="120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单位</w:t>
            </w:r>
          </w:p>
        </w:tc>
        <w:tc>
          <w:tcPr>
            <w:tcW w:w="126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center"/>
              <w:rPr>
                <w:rFonts w:hint="eastAsia" w:ascii="黑体" w:hAnsi="黑体" w:eastAsia="黑体"/>
                <w:szCs w:val="21"/>
                <w:highlight w:val="none"/>
                <w:lang w:eastAsia="zh-CN"/>
              </w:rPr>
            </w:pPr>
            <w:r>
              <w:rPr>
                <w:rFonts w:hint="eastAsia" w:ascii="黑体" w:hAnsi="黑体" w:eastAsia="黑体"/>
                <w:szCs w:val="21"/>
                <w:highlight w:val="none"/>
              </w:rPr>
              <w:t>单价</w:t>
            </w:r>
            <w:r>
              <w:rPr>
                <w:rFonts w:hint="eastAsia" w:ascii="黑体" w:hAnsi="黑体" w:eastAsia="黑体"/>
                <w:szCs w:val="21"/>
                <w:highlight w:val="none"/>
                <w:lang w:eastAsia="zh-CN"/>
              </w:rPr>
              <w:t>（</w:t>
            </w:r>
            <w:r>
              <w:rPr>
                <w:rFonts w:hint="eastAsia" w:ascii="黑体" w:hAnsi="黑体" w:eastAsia="黑体"/>
                <w:szCs w:val="21"/>
                <w:highlight w:val="none"/>
                <w:lang w:val="en-US" w:eastAsia="zh-CN"/>
              </w:rPr>
              <w:t>元</w:t>
            </w:r>
            <w:r>
              <w:rPr>
                <w:rFonts w:hint="eastAsia" w:ascii="黑体" w:hAnsi="黑体" w:eastAsia="黑体"/>
                <w:szCs w:val="21"/>
                <w:highlight w:val="none"/>
                <w:lang w:eastAsia="zh-CN"/>
              </w:rPr>
              <w:t>）</w:t>
            </w:r>
          </w:p>
        </w:tc>
        <w:tc>
          <w:tcPr>
            <w:tcW w:w="1368"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质保期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center"/>
              <w:rPr>
                <w:rFonts w:ascii="宋体" w:hAnsi="宋体" w:cs="宋体"/>
                <w:szCs w:val="21"/>
                <w:highlight w:val="none"/>
              </w:rPr>
            </w:pPr>
            <w:r>
              <w:rPr>
                <w:rFonts w:hint="eastAsia" w:ascii="宋体" w:hAnsi="宋体" w:cs="宋体"/>
                <w:szCs w:val="21"/>
                <w:highlight w:val="none"/>
              </w:rPr>
              <w:t>1</w:t>
            </w:r>
          </w:p>
        </w:tc>
        <w:tc>
          <w:tcPr>
            <w:tcW w:w="78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rPr>
                <w:rFonts w:ascii="宋体" w:hAnsi="宋体" w:cs="宋体"/>
                <w:szCs w:val="21"/>
                <w:highlight w:val="none"/>
              </w:rPr>
            </w:pPr>
          </w:p>
        </w:tc>
        <w:tc>
          <w:tcPr>
            <w:tcW w:w="78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rPr>
                <w:rFonts w:ascii="宋体" w:hAnsi="宋体" w:cs="宋体"/>
                <w:szCs w:val="21"/>
                <w:highlight w:val="none"/>
              </w:rPr>
            </w:pPr>
          </w:p>
        </w:tc>
        <w:tc>
          <w:tcPr>
            <w:tcW w:w="692"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rPr>
                <w:rFonts w:ascii="宋体" w:hAnsi="宋体" w:cs="宋体"/>
                <w:szCs w:val="21"/>
                <w:highlight w:val="none"/>
              </w:rPr>
            </w:pPr>
          </w:p>
        </w:tc>
        <w:tc>
          <w:tcPr>
            <w:tcW w:w="81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rPr>
                <w:rFonts w:ascii="宋体" w:hAnsi="宋体" w:cs="宋体"/>
                <w:szCs w:val="21"/>
                <w:highlight w:val="none"/>
              </w:rPr>
            </w:pPr>
          </w:p>
        </w:tc>
        <w:tc>
          <w:tcPr>
            <w:tcW w:w="106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rPr>
                <w:rFonts w:ascii="宋体" w:hAnsi="宋体"/>
                <w:szCs w:val="21"/>
                <w:highlight w:val="none"/>
              </w:rPr>
            </w:pPr>
          </w:p>
        </w:tc>
        <w:tc>
          <w:tcPr>
            <w:tcW w:w="210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rPr>
                <w:rFonts w:ascii="宋体" w:hAnsi="宋体"/>
                <w:szCs w:val="21"/>
                <w:highlight w:val="none"/>
              </w:rPr>
            </w:pPr>
          </w:p>
        </w:tc>
        <w:tc>
          <w:tcPr>
            <w:tcW w:w="120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rPr>
                <w:rFonts w:ascii="宋体" w:hAnsi="宋体"/>
                <w:szCs w:val="21"/>
                <w:highlight w:val="none"/>
              </w:rPr>
            </w:pPr>
          </w:p>
        </w:tc>
        <w:tc>
          <w:tcPr>
            <w:tcW w:w="1264"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center"/>
              <w:rPr>
                <w:rFonts w:ascii="宋体" w:hAnsi="宋体"/>
                <w:bCs/>
                <w:sz w:val="28"/>
                <w:szCs w:val="28"/>
                <w:highlight w:val="none"/>
              </w:rPr>
            </w:pPr>
          </w:p>
        </w:tc>
        <w:tc>
          <w:tcPr>
            <w:tcW w:w="1368"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674" w:type="dxa"/>
            <w:gridSpan w:val="10"/>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line="0" w:lineRule="atLeast"/>
              <w:jc w:val="left"/>
              <w:rPr>
                <w:rFonts w:ascii="宋体" w:hAnsi="宋体"/>
                <w:bCs/>
                <w:szCs w:val="21"/>
                <w:highlight w:val="none"/>
              </w:rPr>
            </w:pPr>
            <w:r>
              <w:rPr>
                <w:rFonts w:hint="eastAsia" w:ascii="宋体" w:hAnsi="宋体" w:cs="宋体"/>
                <w:b/>
                <w:kern w:val="0"/>
                <w:highlight w:val="none"/>
              </w:rPr>
              <w:t>备注：本表中器械若为长期供应，供应期按甲方管理规定（</w:t>
            </w:r>
            <w:r>
              <w:rPr>
                <w:rFonts w:hint="eastAsia" w:ascii="宋体" w:hAnsi="宋体" w:cs="宋体"/>
                <w:b/>
                <w:kern w:val="0"/>
                <w:highlight w:val="none"/>
                <w:lang w:val="en-US" w:eastAsia="zh-CN"/>
              </w:rPr>
              <w:t>不得超过3年</w:t>
            </w:r>
            <w:r>
              <w:rPr>
                <w:rFonts w:hint="eastAsia" w:ascii="宋体" w:hAnsi="宋体" w:cs="宋体"/>
                <w:b/>
                <w:kern w:val="0"/>
                <w:highlight w:val="none"/>
              </w:rPr>
              <w:t>，如有变化按甲方最新规定执行）执行。另有约定的按实际约定执行。</w:t>
            </w:r>
          </w:p>
        </w:tc>
      </w:tr>
    </w:tbl>
    <w:p>
      <w:pPr>
        <w:rPr>
          <w:rFonts w:ascii="黑体" w:hAnsi="黑体" w:eastAsia="黑体"/>
          <w:sz w:val="22"/>
          <w:highlight w:val="none"/>
        </w:rPr>
      </w:pPr>
      <w:r>
        <w:rPr>
          <w:rFonts w:hint="eastAsia" w:ascii="黑体" w:hAnsi="黑体" w:eastAsia="黑体"/>
          <w:sz w:val="22"/>
          <w:highlight w:val="none"/>
        </w:rPr>
        <w:t>表</w:t>
      </w:r>
      <w:r>
        <w:rPr>
          <w:rFonts w:hint="eastAsia" w:ascii="黑体" w:hAnsi="黑体" w:eastAsia="黑体"/>
          <w:sz w:val="22"/>
          <w:highlight w:val="none"/>
          <w:lang w:val="en-US" w:eastAsia="zh-CN"/>
        </w:rPr>
        <w:t>5</w:t>
      </w:r>
      <w:r>
        <w:rPr>
          <w:rFonts w:hint="eastAsia" w:ascii="黑体" w:hAnsi="黑体" w:eastAsia="黑体"/>
          <w:sz w:val="22"/>
          <w:highlight w:val="none"/>
        </w:rPr>
        <w:t xml:space="preserve">  配件（或易损件）明细表</w:t>
      </w:r>
    </w:p>
    <w:tbl>
      <w:tblPr>
        <w:tblStyle w:val="11"/>
        <w:tblW w:w="103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921"/>
        <w:gridCol w:w="922"/>
        <w:gridCol w:w="1701"/>
        <w:gridCol w:w="1084"/>
        <w:gridCol w:w="1084"/>
        <w:gridCol w:w="1610"/>
        <w:gridCol w:w="85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5" w:hRule="atLeast"/>
          <w:jc w:val="center"/>
        </w:trPr>
        <w:tc>
          <w:tcPr>
            <w:tcW w:w="714"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序号</w:t>
            </w:r>
          </w:p>
        </w:tc>
        <w:tc>
          <w:tcPr>
            <w:tcW w:w="921" w:type="dxa"/>
            <w:tcBorders>
              <w:top w:val="single" w:color="auto" w:sz="4" w:space="0"/>
            </w:tcBorders>
            <w:shd w:val="clear" w:color="auto" w:fill="auto"/>
            <w:noWrap/>
            <w:vAlign w:val="center"/>
          </w:tcPr>
          <w:p>
            <w:pPr>
              <w:jc w:val="center"/>
              <w:rPr>
                <w:rFonts w:ascii="黑体" w:hAnsi="黑体" w:eastAsia="黑体"/>
                <w:szCs w:val="21"/>
                <w:highlight w:val="none"/>
              </w:rPr>
            </w:pPr>
            <w:r>
              <w:rPr>
                <w:rFonts w:hint="eastAsia" w:ascii="黑体" w:hAnsi="黑体" w:eastAsia="黑体"/>
                <w:color w:val="000000"/>
                <w:sz w:val="18"/>
                <w:szCs w:val="18"/>
                <w:highlight w:val="none"/>
                <w:lang w:val="en-US" w:eastAsia="zh-CN"/>
              </w:rPr>
              <w:t>招标中产品的名称</w:t>
            </w:r>
          </w:p>
        </w:tc>
        <w:tc>
          <w:tcPr>
            <w:tcW w:w="922" w:type="dxa"/>
            <w:tcBorders>
              <w:top w:val="single" w:color="auto" w:sz="4" w:space="0"/>
            </w:tcBorders>
            <w:shd w:val="clear" w:color="auto" w:fill="auto"/>
            <w:noWrap/>
            <w:vAlign w:val="center"/>
          </w:tcPr>
          <w:p>
            <w:pPr>
              <w:jc w:val="center"/>
              <w:rPr>
                <w:rFonts w:hint="eastAsia" w:ascii="黑体" w:hAnsi="黑体" w:eastAsia="黑体"/>
                <w:szCs w:val="21"/>
                <w:highlight w:val="none"/>
              </w:rPr>
            </w:pPr>
            <w:r>
              <w:rPr>
                <w:rFonts w:hint="eastAsia" w:ascii="黑体" w:hAnsi="黑体" w:eastAsia="黑体"/>
                <w:color w:val="000000"/>
                <w:sz w:val="18"/>
                <w:szCs w:val="18"/>
                <w:highlight w:val="none"/>
                <w:lang w:val="en-US" w:eastAsia="zh-CN"/>
              </w:rPr>
              <w:t>产品的</w:t>
            </w:r>
            <w:r>
              <w:rPr>
                <w:rFonts w:hint="eastAsia" w:ascii="黑体" w:hAnsi="黑体" w:eastAsia="黑体"/>
                <w:color w:val="000000"/>
                <w:sz w:val="18"/>
                <w:szCs w:val="18"/>
                <w:highlight w:val="none"/>
              </w:rPr>
              <w:t>注册证名称</w:t>
            </w:r>
          </w:p>
        </w:tc>
        <w:tc>
          <w:tcPr>
            <w:tcW w:w="1701" w:type="dxa"/>
            <w:tcBorders>
              <w:top w:val="single" w:color="auto" w:sz="4" w:space="0"/>
            </w:tcBorders>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注册证号及起止日期</w:t>
            </w:r>
          </w:p>
        </w:tc>
        <w:tc>
          <w:tcPr>
            <w:tcW w:w="1084" w:type="dxa"/>
            <w:tcBorders>
              <w:top w:val="single" w:color="auto" w:sz="4" w:space="0"/>
            </w:tcBorders>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品牌</w:t>
            </w:r>
          </w:p>
        </w:tc>
        <w:tc>
          <w:tcPr>
            <w:tcW w:w="1084"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产地</w:t>
            </w:r>
          </w:p>
        </w:tc>
        <w:tc>
          <w:tcPr>
            <w:tcW w:w="1610"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规格型号</w:t>
            </w:r>
          </w:p>
        </w:tc>
        <w:tc>
          <w:tcPr>
            <w:tcW w:w="850"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单位</w:t>
            </w:r>
          </w:p>
        </w:tc>
        <w:tc>
          <w:tcPr>
            <w:tcW w:w="1418" w:type="dxa"/>
            <w:tcBorders>
              <w:top w:val="single" w:color="auto" w:sz="4" w:space="0"/>
            </w:tcBorders>
            <w:shd w:val="clear" w:color="auto" w:fill="auto"/>
            <w:noWrap/>
            <w:vAlign w:val="center"/>
          </w:tcPr>
          <w:p>
            <w:pPr>
              <w:spacing w:line="0" w:lineRule="atLeast"/>
              <w:jc w:val="center"/>
              <w:rPr>
                <w:rFonts w:ascii="黑体" w:hAnsi="黑体" w:eastAsia="黑体"/>
                <w:szCs w:val="21"/>
                <w:highlight w:val="none"/>
              </w:rPr>
            </w:pPr>
            <w:r>
              <w:rPr>
                <w:rFonts w:hint="eastAsia" w:ascii="黑体" w:hAnsi="黑体" w:eastAsia="黑体"/>
                <w:szCs w:val="21"/>
                <w:highlight w:val="none"/>
              </w:rPr>
              <w:t>单价</w:t>
            </w:r>
            <w:r>
              <w:rPr>
                <w:rFonts w:hint="eastAsia" w:ascii="黑体" w:hAnsi="黑体" w:eastAsia="黑体"/>
                <w:szCs w:val="21"/>
                <w:highlight w:val="none"/>
                <w:lang w:eastAsia="zh-CN"/>
              </w:rPr>
              <w:t>（</w:t>
            </w:r>
            <w:r>
              <w:rPr>
                <w:rFonts w:hint="eastAsia" w:ascii="黑体" w:hAnsi="黑体" w:eastAsia="黑体"/>
                <w:szCs w:val="21"/>
                <w:highlight w:val="none"/>
              </w:rPr>
              <w:t>元</w:t>
            </w:r>
            <w:r>
              <w:rPr>
                <w:rFonts w:hint="eastAsia" w:ascii="黑体" w:hAnsi="黑体" w:eastAsia="黑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14" w:type="dxa"/>
            <w:shd w:val="clear" w:color="auto" w:fill="auto"/>
            <w:noWrap/>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1</w:t>
            </w:r>
          </w:p>
        </w:tc>
        <w:tc>
          <w:tcPr>
            <w:tcW w:w="921"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c>
          <w:tcPr>
            <w:tcW w:w="922" w:type="dxa"/>
            <w:shd w:val="clear" w:color="auto" w:fill="auto"/>
            <w:vAlign w:val="center"/>
          </w:tcPr>
          <w:p>
            <w:pPr>
              <w:widowControl/>
              <w:jc w:val="center"/>
              <w:rPr>
                <w:rFonts w:hint="eastAsia" w:ascii="宋体" w:hAnsi="宋体" w:cs="宋体"/>
                <w:kern w:val="0"/>
                <w:sz w:val="20"/>
                <w:highlight w:val="none"/>
              </w:rPr>
            </w:pPr>
          </w:p>
        </w:tc>
        <w:tc>
          <w:tcPr>
            <w:tcW w:w="1701" w:type="dxa"/>
            <w:vAlign w:val="center"/>
          </w:tcPr>
          <w:p>
            <w:pPr>
              <w:widowControl/>
              <w:jc w:val="center"/>
              <w:rPr>
                <w:rFonts w:ascii="宋体" w:hAnsi="宋体" w:cs="宋体"/>
                <w:kern w:val="0"/>
                <w:sz w:val="20"/>
                <w:highlight w:val="none"/>
              </w:rPr>
            </w:pPr>
          </w:p>
        </w:tc>
        <w:tc>
          <w:tcPr>
            <w:tcW w:w="1084" w:type="dxa"/>
            <w:vAlign w:val="center"/>
          </w:tcPr>
          <w:p>
            <w:pPr>
              <w:widowControl/>
              <w:jc w:val="center"/>
              <w:rPr>
                <w:rFonts w:ascii="宋体" w:hAnsi="宋体" w:cs="宋体"/>
                <w:kern w:val="0"/>
                <w:sz w:val="20"/>
                <w:highlight w:val="none"/>
              </w:rPr>
            </w:pPr>
          </w:p>
        </w:tc>
        <w:tc>
          <w:tcPr>
            <w:tcW w:w="1084"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c>
          <w:tcPr>
            <w:tcW w:w="1610"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c>
          <w:tcPr>
            <w:tcW w:w="850"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c>
          <w:tcPr>
            <w:tcW w:w="1418" w:type="dxa"/>
            <w:shd w:val="clear" w:color="auto" w:fill="auto"/>
            <w:vAlign w:val="center"/>
          </w:tcPr>
          <w:p>
            <w:pPr>
              <w:widowControl/>
              <w:jc w:val="center"/>
              <w:rPr>
                <w:rFonts w:ascii="宋体" w:hAnsi="宋体" w:cs="宋体"/>
                <w:kern w:val="0"/>
                <w:sz w:val="20"/>
                <w:highlight w:val="none"/>
              </w:rPr>
            </w:pPr>
            <w:r>
              <w:rPr>
                <w:rFonts w:hint="eastAsia" w:ascii="宋体" w:hAnsi="宋体" w:cs="宋体"/>
                <w:kern w:val="0"/>
                <w:sz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304" w:type="dxa"/>
            <w:gridSpan w:val="9"/>
            <w:vAlign w:val="center"/>
          </w:tcPr>
          <w:p>
            <w:pPr>
              <w:widowControl/>
              <w:jc w:val="left"/>
              <w:rPr>
                <w:rFonts w:ascii="宋体" w:hAnsi="宋体" w:cs="宋体"/>
                <w:b/>
                <w:kern w:val="0"/>
                <w:highlight w:val="none"/>
              </w:rPr>
            </w:pPr>
            <w:r>
              <w:rPr>
                <w:rFonts w:hint="eastAsia" w:ascii="宋体" w:hAnsi="宋体" w:cs="宋体"/>
                <w:b/>
                <w:kern w:val="0"/>
                <w:highlight w:val="none"/>
              </w:rPr>
              <w:t>备注：1、本表中配件（或易损件）供应期按甲方管理规定（</w:t>
            </w:r>
            <w:r>
              <w:rPr>
                <w:rFonts w:hint="eastAsia" w:ascii="宋体" w:hAnsi="宋体" w:cs="宋体"/>
                <w:b/>
                <w:kern w:val="0"/>
                <w:highlight w:val="none"/>
                <w:lang w:val="en-US" w:eastAsia="zh-CN"/>
              </w:rPr>
              <w:t>不得超过</w:t>
            </w:r>
            <w:r>
              <w:rPr>
                <w:rFonts w:hint="eastAsia" w:ascii="宋体" w:hAnsi="宋体" w:cs="宋体"/>
                <w:b/>
                <w:kern w:val="0"/>
                <w:highlight w:val="none"/>
              </w:rPr>
              <w:t>3年，如有变化按甲方最新规定执行）执行。另有约定的按实际约定执行。</w:t>
            </w:r>
          </w:p>
          <w:p>
            <w:pPr>
              <w:widowControl/>
              <w:jc w:val="left"/>
              <w:rPr>
                <w:rFonts w:ascii="宋体" w:hAnsi="宋体" w:cs="宋体"/>
                <w:kern w:val="0"/>
                <w:sz w:val="20"/>
                <w:highlight w:val="none"/>
              </w:rPr>
            </w:pPr>
            <w:r>
              <w:rPr>
                <w:rFonts w:hint="eastAsia" w:ascii="宋体" w:hAnsi="宋体" w:cs="宋体"/>
                <w:b/>
                <w:kern w:val="0"/>
                <w:highlight w:val="none"/>
              </w:rPr>
              <w:t>2、本表中配件（或易损件）质保期按甲方规定执行</w:t>
            </w:r>
            <w:r>
              <w:rPr>
                <w:rFonts w:hint="eastAsia" w:ascii="宋体" w:hAnsi="宋体" w:cs="宋体"/>
                <w:b/>
                <w:kern w:val="0"/>
                <w:highlight w:val="none"/>
                <w:lang w:eastAsia="zh-CN"/>
              </w:rPr>
              <w:t>，</w:t>
            </w:r>
            <w:r>
              <w:rPr>
                <w:rFonts w:hint="eastAsia" w:ascii="宋体" w:hAnsi="宋体" w:cs="宋体"/>
                <w:b/>
                <w:kern w:val="0"/>
                <w:highlight w:val="none"/>
                <w:lang w:val="en-US" w:eastAsia="zh-CN"/>
              </w:rPr>
              <w:t>不得少于6个月</w:t>
            </w:r>
            <w:r>
              <w:rPr>
                <w:rFonts w:hint="eastAsia" w:ascii="宋体" w:hAnsi="宋体" w:cs="宋体"/>
                <w:b/>
                <w:kern w:val="0"/>
                <w:highlight w:val="none"/>
              </w:rPr>
              <w:t>，另有约定的按约定执行。</w:t>
            </w:r>
          </w:p>
        </w:tc>
      </w:tr>
    </w:tbl>
    <w:p>
      <w:pPr>
        <w:rPr>
          <w:rFonts w:ascii="黑体" w:hAnsi="黑体" w:eastAsia="黑体"/>
          <w:sz w:val="22"/>
          <w:highlight w:val="none"/>
        </w:rPr>
      </w:pPr>
      <w:r>
        <w:rPr>
          <w:rFonts w:hint="eastAsia" w:ascii="黑体" w:hAnsi="黑体" w:eastAsia="黑体"/>
          <w:sz w:val="22"/>
          <w:highlight w:val="none"/>
        </w:rPr>
        <w:t>附件</w:t>
      </w:r>
      <w:r>
        <w:rPr>
          <w:rFonts w:hint="eastAsia" w:ascii="黑体" w:hAnsi="黑体" w:eastAsia="黑体"/>
          <w:sz w:val="22"/>
          <w:highlight w:val="none"/>
          <w:lang w:val="en-US" w:eastAsia="zh-CN"/>
        </w:rPr>
        <w:t>6</w:t>
      </w:r>
      <w:r>
        <w:rPr>
          <w:rFonts w:hint="eastAsia" w:ascii="黑体" w:hAnsi="黑体" w:eastAsia="黑体"/>
          <w:sz w:val="22"/>
          <w:highlight w:val="none"/>
        </w:rPr>
        <w:t xml:space="preserve">  优惠条款</w:t>
      </w:r>
    </w:p>
    <w:p>
      <w:pPr>
        <w:rPr>
          <w:rFonts w:ascii="黑体" w:hAnsi="黑体" w:eastAsia="黑体"/>
          <w:sz w:val="22"/>
          <w:highlight w:val="none"/>
        </w:rPr>
      </w:pPr>
    </w:p>
    <w:p>
      <w:pPr>
        <w:widowControl/>
        <w:jc w:val="left"/>
        <w:rPr>
          <w:rFonts w:ascii="宋体" w:hAnsi="宋体" w:cs="宋体"/>
          <w:kern w:val="0"/>
          <w:highlight w:val="none"/>
        </w:rPr>
      </w:pPr>
      <w:r>
        <w:rPr>
          <w:rFonts w:hint="eastAsia" w:ascii="黑体" w:hAnsi="黑体" w:eastAsia="黑体" w:cs="宋体"/>
          <w:kern w:val="0"/>
          <w:highlight w:val="none"/>
        </w:rPr>
        <w:t>备注</w:t>
      </w:r>
      <w:r>
        <w:rPr>
          <w:rFonts w:ascii="黑体" w:hAnsi="黑体" w:eastAsia="黑体" w:cs="宋体"/>
          <w:kern w:val="0"/>
          <w:highlight w:val="none"/>
        </w:rPr>
        <w:t xml:space="preserve"> </w:t>
      </w:r>
      <w:r>
        <w:rPr>
          <w:rFonts w:hint="eastAsia" w:ascii="黑体" w:hAnsi="黑体" w:eastAsia="黑体" w:cs="宋体"/>
          <w:kern w:val="0"/>
          <w:highlight w:val="none"/>
        </w:rPr>
        <w:t>：</w:t>
      </w:r>
      <w:r>
        <w:rPr>
          <w:rFonts w:hint="eastAsia" w:ascii="宋体" w:hAnsi="宋体" w:cs="宋体"/>
          <w:kern w:val="0"/>
          <w:highlight w:val="none"/>
        </w:rPr>
        <w:t>1、打印合同时删除本“备注”内容</w:t>
      </w:r>
      <w:r>
        <w:rPr>
          <w:rFonts w:hint="eastAsia" w:cs="宋体"/>
          <w:highlight w:val="none"/>
        </w:rPr>
        <w:t>，无相应产品的删除对应的表格，不得出现空表；</w:t>
      </w:r>
    </w:p>
    <w:p>
      <w:pPr>
        <w:widowControl/>
        <w:ind w:firstLine="743" w:firstLineChars="354"/>
        <w:jc w:val="left"/>
        <w:rPr>
          <w:rFonts w:ascii="宋体" w:hAnsi="宋体" w:cs="宋体"/>
          <w:kern w:val="0"/>
          <w:highlight w:val="none"/>
        </w:rPr>
      </w:pPr>
      <w:r>
        <w:rPr>
          <w:rFonts w:hint="eastAsia" w:ascii="宋体" w:hAnsi="宋体" w:cs="宋体"/>
          <w:kern w:val="0"/>
          <w:highlight w:val="none"/>
        </w:rPr>
        <w:t>2、附上履约保证金汇款凭证并盖章；</w:t>
      </w:r>
    </w:p>
    <w:p>
      <w:pPr>
        <w:widowControl/>
        <w:ind w:firstLine="743" w:firstLineChars="354"/>
        <w:jc w:val="left"/>
        <w:rPr>
          <w:rFonts w:ascii="宋体" w:hAnsi="宋体" w:cs="宋体"/>
          <w:kern w:val="0"/>
          <w:highlight w:val="none"/>
        </w:rPr>
      </w:pPr>
      <w:r>
        <w:rPr>
          <w:rFonts w:hint="eastAsia" w:ascii="宋体" w:hAnsi="宋体" w:cs="宋体"/>
          <w:kern w:val="0"/>
          <w:highlight w:val="none"/>
        </w:rPr>
        <w:t>3、内容过多打不下，表格可横向打印</w:t>
      </w:r>
      <w:r>
        <w:rPr>
          <w:rFonts w:hint="eastAsia" w:cs="宋体"/>
          <w:highlight w:val="none"/>
        </w:rPr>
        <w:t>；</w:t>
      </w:r>
    </w:p>
    <w:p>
      <w:pPr>
        <w:widowControl/>
        <w:ind w:firstLine="743" w:firstLineChars="354"/>
        <w:jc w:val="left"/>
        <w:rPr>
          <w:rFonts w:ascii="宋体" w:hAnsi="宋体" w:cs="宋体"/>
          <w:kern w:val="0"/>
          <w:highlight w:val="none"/>
        </w:rPr>
      </w:pPr>
      <w:r>
        <w:rPr>
          <w:rFonts w:hint="eastAsia" w:ascii="宋体" w:hAnsi="宋体" w:cs="宋体"/>
          <w:kern w:val="0"/>
          <w:highlight w:val="none"/>
        </w:rPr>
        <w:t>4、投标时未报医保编码的，删除表3中“医保编码”单元格；</w:t>
      </w:r>
    </w:p>
    <w:p>
      <w:pPr>
        <w:widowControl/>
        <w:ind w:firstLine="743" w:firstLineChars="354"/>
        <w:jc w:val="left"/>
        <w:rPr>
          <w:rFonts w:ascii="宋体" w:hAnsi="宋体" w:cs="宋体"/>
          <w:kern w:val="0"/>
          <w:highlight w:val="none"/>
        </w:rPr>
      </w:pPr>
      <w:r>
        <w:rPr>
          <w:rFonts w:hint="eastAsia" w:ascii="宋体" w:hAnsi="宋体" w:cs="宋体"/>
          <w:kern w:val="0"/>
          <w:highlight w:val="none"/>
        </w:rPr>
        <w:t>5、</w:t>
      </w:r>
      <w:r>
        <w:rPr>
          <w:rFonts w:hint="eastAsia" w:cs="宋体"/>
          <w:highlight w:val="none"/>
        </w:rPr>
        <w:t>产地在国内的写到地级市，“如广东广州”；</w:t>
      </w:r>
    </w:p>
    <w:p>
      <w:pPr>
        <w:widowControl/>
        <w:ind w:left="990" w:leftChars="353" w:hanging="249" w:hangingChars="119"/>
        <w:jc w:val="left"/>
        <w:rPr>
          <w:rFonts w:ascii="宋体" w:hAnsi="宋体" w:cs="宋体"/>
          <w:kern w:val="0"/>
          <w:highlight w:val="none"/>
        </w:rPr>
      </w:pPr>
      <w:r>
        <w:rPr>
          <w:rFonts w:hint="eastAsia" w:ascii="宋体" w:hAnsi="宋体" w:cs="宋体"/>
          <w:kern w:val="0"/>
          <w:highlight w:val="none"/>
        </w:rPr>
        <w:t>6、请附上注册证复印件并盖章（一式四份的合同只需附一份注册证）；</w:t>
      </w:r>
    </w:p>
    <w:p>
      <w:pPr>
        <w:widowControl/>
        <w:ind w:left="990" w:leftChars="353" w:hanging="249" w:hangingChars="119"/>
        <w:jc w:val="left"/>
        <w:rPr>
          <w:rFonts w:ascii="宋体" w:hAnsi="宋体" w:cs="宋体"/>
          <w:kern w:val="0"/>
          <w:highlight w:val="none"/>
        </w:rPr>
      </w:pPr>
      <w:r>
        <w:rPr>
          <w:rFonts w:hint="eastAsia" w:ascii="宋体" w:hAnsi="宋体" w:cs="宋体"/>
          <w:kern w:val="0"/>
          <w:highlight w:val="none"/>
        </w:rPr>
        <w:t>7、如有集采信息，请打印截图并盖章（一份），“是否集采”根据实际情况在相应单元格填“否”“备案”“限价”，若为“否”，则“集采流水号”和“集采价格”下填“/”。</w:t>
      </w:r>
    </w:p>
    <w:p>
      <w:pPr>
        <w:rPr>
          <w:highlight w:val="none"/>
        </w:rPr>
      </w:pPr>
    </w:p>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Che">
    <w:altName w:val="Malgun Gothic"/>
    <w:panose1 w:val="02030609000101010101"/>
    <w:charset w:val="81"/>
    <w:family w:val="moder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s82XssBAACcAwAADgAAAGRycy9lMm9Eb2MueG1srVPNjtMwEL4j8Q6W&#10;79Rpk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DUljlsc+OXH98vP35df38iy&#10;Wt1k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7PNl7LAQAAnAMAAA4AAAAAAAAAAQAgAAAAHgEAAGRycy9lMm9E&#10;b2MueG1sUEsFBgAAAAAGAAYAWQEAAFsFA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43180</wp:posOffset>
          </wp:positionH>
          <wp:positionV relativeFrom="paragraph">
            <wp:posOffset>88265</wp:posOffset>
          </wp:positionV>
          <wp:extent cx="1216025" cy="297180"/>
          <wp:effectExtent l="0" t="0" r="3175" b="7620"/>
          <wp:wrapNone/>
          <wp:docPr id="1"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8"/>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w:t>
    </w:r>
    <w:r>
      <w:rPr>
        <w:rFonts w:hint="eastAsia" w:ascii="宋体" w:hAnsi="宋体" w:eastAsia="宋体" w:cs="宋体"/>
        <w:b w:val="0"/>
        <w:bCs w:val="0"/>
        <w:sz w:val="18"/>
        <w:szCs w:val="18"/>
        <w:lang w:val="en-US" w:eastAsia="zh-CN"/>
      </w:rPr>
      <w:fldChar w:fldCharType="begin"/>
    </w:r>
    <w:r>
      <w:rPr>
        <w:rFonts w:hint="eastAsia" w:ascii="宋体" w:hAnsi="宋体" w:eastAsia="宋体" w:cs="宋体"/>
        <w:b w:val="0"/>
        <w:bCs w:val="0"/>
        <w:sz w:val="18"/>
        <w:szCs w:val="18"/>
        <w:lang w:val="en-US" w:eastAsia="zh-CN"/>
      </w:rPr>
      <w:instrText xml:space="preserve"> Time \@ "yyyy </w:instrText>
    </w:r>
    <w:r>
      <w:rPr>
        <w:rFonts w:hint="eastAsia" w:ascii="宋体" w:hAnsi="宋体" w:eastAsia="宋体" w:cs="宋体"/>
        <w:b w:val="0"/>
        <w:bCs w:val="0"/>
        <w:sz w:val="18"/>
        <w:szCs w:val="18"/>
        <w:lang w:val="en-US" w:eastAsia="zh-CN"/>
      </w:rPr>
      <w:fldChar w:fldCharType="separate"/>
    </w:r>
    <w:r>
      <w:rPr>
        <w:rFonts w:hint="eastAsia" w:ascii="宋体" w:hAnsi="宋体" w:eastAsia="宋体" w:cs="宋体"/>
        <w:b w:val="0"/>
        <w:bCs w:val="0"/>
        <w:sz w:val="18"/>
        <w:szCs w:val="18"/>
        <w:lang w:val="en-US" w:eastAsia="zh-CN"/>
      </w:rPr>
      <w:t xml:space="preserve">2024 </w:t>
    </w:r>
    <w:r>
      <w:rPr>
        <w:rFonts w:hint="eastAsia" w:ascii="宋体" w:hAnsi="宋体" w:eastAsia="宋体" w:cs="宋体"/>
        <w:b w:val="0"/>
        <w:bCs w:val="0"/>
        <w:sz w:val="18"/>
        <w:szCs w:val="18"/>
        <w:lang w:val="en-US" w:eastAsia="zh-CN"/>
      </w:rPr>
      <w:fldChar w:fldCharType="end"/>
    </w:r>
    <w:r>
      <w:rPr>
        <w:rFonts w:hint="eastAsia" w:ascii="宋体" w:hAnsi="宋体" w:eastAsia="宋体" w:cs="宋体"/>
        <w:b w:val="0"/>
        <w:bCs w:val="0"/>
        <w:sz w:val="18"/>
        <w:szCs w:val="18"/>
        <w:lang w:val="en-US" w:eastAsia="zh-CN"/>
      </w:rPr>
      <w:t>-01</w:t>
    </w:r>
  </w:p>
  <w:p>
    <w:pPr>
      <w:pStyle w:val="8"/>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2" name="直线 1025"/>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25" o:spid="_x0000_s1026" o:spt="20" style="position:absolute;left:0pt;margin-left:1.8pt;margin-top:10.4pt;height:0.05pt;width:447pt;z-index:251659264;mso-width-relative:page;mso-height-relative:page;" filled="f" stroked="t" coordsize="21600,21600" o:gfxdata="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ji&#10;GavVAAAABwEAAA8AAAAAAAAAAQAgAAAAIgAAAGRycy9kb3ducmV2LnhtbFBLAQIUABQAAAAIAIdO&#10;4kBeyvyh7QEAAOADAAAOAAAAAAAAAAEAIAAAACQBAABkcnMvZTJvRG9jLnhtbFBLBQYAAAAABgAG&#10;AFkBAACDBQAAAAA=&#10;">
              <v:fill on="f" focussize="0,0"/>
              <v:stroke color="#000000" joinstyle="round"/>
              <v:imagedata o:title=""/>
              <o:lock v:ext="edit" aspectratio="f"/>
            </v:line>
          </w:pict>
        </mc:Fallback>
      </mc:AlternateConten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81059E"/>
    <w:multiLevelType w:val="singleLevel"/>
    <w:tmpl w:val="D081059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0811E18"/>
    <w:rsid w:val="00001183"/>
    <w:rsid w:val="0000146E"/>
    <w:rsid w:val="00004E95"/>
    <w:rsid w:val="00005B4C"/>
    <w:rsid w:val="00012379"/>
    <w:rsid w:val="00014E2C"/>
    <w:rsid w:val="00022D30"/>
    <w:rsid w:val="000258E6"/>
    <w:rsid w:val="00032262"/>
    <w:rsid w:val="00037B77"/>
    <w:rsid w:val="00042CB7"/>
    <w:rsid w:val="00043F1F"/>
    <w:rsid w:val="0004403F"/>
    <w:rsid w:val="0005316A"/>
    <w:rsid w:val="00062207"/>
    <w:rsid w:val="000704E4"/>
    <w:rsid w:val="000764C5"/>
    <w:rsid w:val="0008238C"/>
    <w:rsid w:val="000A4E5E"/>
    <w:rsid w:val="000B1E00"/>
    <w:rsid w:val="000B385E"/>
    <w:rsid w:val="000C2ABB"/>
    <w:rsid w:val="000C2E6E"/>
    <w:rsid w:val="000C405C"/>
    <w:rsid w:val="000D4997"/>
    <w:rsid w:val="000F17EA"/>
    <w:rsid w:val="000F6A44"/>
    <w:rsid w:val="0010124F"/>
    <w:rsid w:val="00107059"/>
    <w:rsid w:val="001077CA"/>
    <w:rsid w:val="00110B42"/>
    <w:rsid w:val="0011325E"/>
    <w:rsid w:val="001172CD"/>
    <w:rsid w:val="001174D6"/>
    <w:rsid w:val="0013080F"/>
    <w:rsid w:val="00141F81"/>
    <w:rsid w:val="00142AC5"/>
    <w:rsid w:val="00147236"/>
    <w:rsid w:val="001541AF"/>
    <w:rsid w:val="00156654"/>
    <w:rsid w:val="00160764"/>
    <w:rsid w:val="00164F5C"/>
    <w:rsid w:val="00165216"/>
    <w:rsid w:val="001662AF"/>
    <w:rsid w:val="0016761C"/>
    <w:rsid w:val="00182E3D"/>
    <w:rsid w:val="00192039"/>
    <w:rsid w:val="001A12AF"/>
    <w:rsid w:val="001A1EDF"/>
    <w:rsid w:val="001A2C03"/>
    <w:rsid w:val="001A7AAD"/>
    <w:rsid w:val="001B48B8"/>
    <w:rsid w:val="001B4D0F"/>
    <w:rsid w:val="001B60C1"/>
    <w:rsid w:val="001B6ACB"/>
    <w:rsid w:val="001C6ABC"/>
    <w:rsid w:val="001D11B7"/>
    <w:rsid w:val="001D491E"/>
    <w:rsid w:val="001F144C"/>
    <w:rsid w:val="001F2D9A"/>
    <w:rsid w:val="001F328F"/>
    <w:rsid w:val="0021226B"/>
    <w:rsid w:val="0022335D"/>
    <w:rsid w:val="00223607"/>
    <w:rsid w:val="00235CA8"/>
    <w:rsid w:val="00235E20"/>
    <w:rsid w:val="002504E7"/>
    <w:rsid w:val="00251003"/>
    <w:rsid w:val="00253B38"/>
    <w:rsid w:val="00255B8B"/>
    <w:rsid w:val="00257B51"/>
    <w:rsid w:val="00275389"/>
    <w:rsid w:val="0028038C"/>
    <w:rsid w:val="00290E25"/>
    <w:rsid w:val="002924AD"/>
    <w:rsid w:val="002978A0"/>
    <w:rsid w:val="002A793C"/>
    <w:rsid w:val="002C5841"/>
    <w:rsid w:val="002D1954"/>
    <w:rsid w:val="002D24A8"/>
    <w:rsid w:val="002D3153"/>
    <w:rsid w:val="002E0419"/>
    <w:rsid w:val="002E6B99"/>
    <w:rsid w:val="002E7773"/>
    <w:rsid w:val="002F55B5"/>
    <w:rsid w:val="002F5EF4"/>
    <w:rsid w:val="00304F6D"/>
    <w:rsid w:val="0030566B"/>
    <w:rsid w:val="00305D21"/>
    <w:rsid w:val="00306490"/>
    <w:rsid w:val="003066B8"/>
    <w:rsid w:val="00313593"/>
    <w:rsid w:val="00314031"/>
    <w:rsid w:val="003215B5"/>
    <w:rsid w:val="0032622E"/>
    <w:rsid w:val="003266D3"/>
    <w:rsid w:val="00326724"/>
    <w:rsid w:val="0033443B"/>
    <w:rsid w:val="003418F7"/>
    <w:rsid w:val="00341C27"/>
    <w:rsid w:val="0035264A"/>
    <w:rsid w:val="00352BD5"/>
    <w:rsid w:val="00356E0B"/>
    <w:rsid w:val="00357326"/>
    <w:rsid w:val="00362AB6"/>
    <w:rsid w:val="003646AE"/>
    <w:rsid w:val="00372043"/>
    <w:rsid w:val="00381EA6"/>
    <w:rsid w:val="00382ACA"/>
    <w:rsid w:val="00396ECC"/>
    <w:rsid w:val="003A5219"/>
    <w:rsid w:val="003B1A02"/>
    <w:rsid w:val="003C54D1"/>
    <w:rsid w:val="003D1ECF"/>
    <w:rsid w:val="003E2E2D"/>
    <w:rsid w:val="00400522"/>
    <w:rsid w:val="0040227F"/>
    <w:rsid w:val="00412B5B"/>
    <w:rsid w:val="00415F45"/>
    <w:rsid w:val="0041733F"/>
    <w:rsid w:val="00420453"/>
    <w:rsid w:val="00423AD3"/>
    <w:rsid w:val="00426566"/>
    <w:rsid w:val="00427D50"/>
    <w:rsid w:val="00442488"/>
    <w:rsid w:val="00457D25"/>
    <w:rsid w:val="00461D7D"/>
    <w:rsid w:val="00466CB8"/>
    <w:rsid w:val="00492E92"/>
    <w:rsid w:val="00493A49"/>
    <w:rsid w:val="00495EFD"/>
    <w:rsid w:val="004969CB"/>
    <w:rsid w:val="004A363C"/>
    <w:rsid w:val="004B2E89"/>
    <w:rsid w:val="004D0F1A"/>
    <w:rsid w:val="004D175E"/>
    <w:rsid w:val="004E0D49"/>
    <w:rsid w:val="004E72BF"/>
    <w:rsid w:val="004F3997"/>
    <w:rsid w:val="00504D50"/>
    <w:rsid w:val="00510EB2"/>
    <w:rsid w:val="00511EBD"/>
    <w:rsid w:val="00522208"/>
    <w:rsid w:val="00522F61"/>
    <w:rsid w:val="005234C5"/>
    <w:rsid w:val="00524139"/>
    <w:rsid w:val="00540F81"/>
    <w:rsid w:val="00544359"/>
    <w:rsid w:val="00550A6E"/>
    <w:rsid w:val="00581E27"/>
    <w:rsid w:val="0058344F"/>
    <w:rsid w:val="00597E97"/>
    <w:rsid w:val="005A0293"/>
    <w:rsid w:val="005A06B4"/>
    <w:rsid w:val="005B1459"/>
    <w:rsid w:val="005B4B19"/>
    <w:rsid w:val="005B6FBF"/>
    <w:rsid w:val="005C63C6"/>
    <w:rsid w:val="005D2B8A"/>
    <w:rsid w:val="005D5A5E"/>
    <w:rsid w:val="005D7599"/>
    <w:rsid w:val="005E7C3A"/>
    <w:rsid w:val="005F0A9D"/>
    <w:rsid w:val="00607A9B"/>
    <w:rsid w:val="0061003C"/>
    <w:rsid w:val="00615259"/>
    <w:rsid w:val="006164DC"/>
    <w:rsid w:val="006266ED"/>
    <w:rsid w:val="00626968"/>
    <w:rsid w:val="00633222"/>
    <w:rsid w:val="00636EAA"/>
    <w:rsid w:val="0063732E"/>
    <w:rsid w:val="00637CC0"/>
    <w:rsid w:val="00645DFF"/>
    <w:rsid w:val="00647909"/>
    <w:rsid w:val="00650608"/>
    <w:rsid w:val="00656512"/>
    <w:rsid w:val="00677187"/>
    <w:rsid w:val="00683D02"/>
    <w:rsid w:val="00683FE5"/>
    <w:rsid w:val="00690314"/>
    <w:rsid w:val="006932D2"/>
    <w:rsid w:val="006B0F45"/>
    <w:rsid w:val="006C5F2E"/>
    <w:rsid w:val="006C7C13"/>
    <w:rsid w:val="006D3BA1"/>
    <w:rsid w:val="006D3F30"/>
    <w:rsid w:val="006F0601"/>
    <w:rsid w:val="006F335F"/>
    <w:rsid w:val="00703FE5"/>
    <w:rsid w:val="00704103"/>
    <w:rsid w:val="0072065A"/>
    <w:rsid w:val="00726804"/>
    <w:rsid w:val="00730EAE"/>
    <w:rsid w:val="00733CAD"/>
    <w:rsid w:val="00736A62"/>
    <w:rsid w:val="00736C46"/>
    <w:rsid w:val="00761CDD"/>
    <w:rsid w:val="0077705B"/>
    <w:rsid w:val="00781DE3"/>
    <w:rsid w:val="00782F98"/>
    <w:rsid w:val="007909CB"/>
    <w:rsid w:val="007A37EC"/>
    <w:rsid w:val="007A75FD"/>
    <w:rsid w:val="007B2862"/>
    <w:rsid w:val="007B6722"/>
    <w:rsid w:val="007B6991"/>
    <w:rsid w:val="007C4F05"/>
    <w:rsid w:val="007D2770"/>
    <w:rsid w:val="007E0AB9"/>
    <w:rsid w:val="007F3C1D"/>
    <w:rsid w:val="00811E18"/>
    <w:rsid w:val="00815FCC"/>
    <w:rsid w:val="0081628C"/>
    <w:rsid w:val="0082157F"/>
    <w:rsid w:val="00823824"/>
    <w:rsid w:val="00830388"/>
    <w:rsid w:val="00833079"/>
    <w:rsid w:val="0084227A"/>
    <w:rsid w:val="00850CF2"/>
    <w:rsid w:val="00856959"/>
    <w:rsid w:val="00860B16"/>
    <w:rsid w:val="008671DE"/>
    <w:rsid w:val="00873616"/>
    <w:rsid w:val="00876DB5"/>
    <w:rsid w:val="0088337A"/>
    <w:rsid w:val="00894FEC"/>
    <w:rsid w:val="00896AD6"/>
    <w:rsid w:val="008A2E27"/>
    <w:rsid w:val="008A56DF"/>
    <w:rsid w:val="008A59F2"/>
    <w:rsid w:val="008C02CA"/>
    <w:rsid w:val="008C0919"/>
    <w:rsid w:val="008C638C"/>
    <w:rsid w:val="008C71A8"/>
    <w:rsid w:val="008D7BFB"/>
    <w:rsid w:val="008E2A78"/>
    <w:rsid w:val="008E3243"/>
    <w:rsid w:val="008E71A7"/>
    <w:rsid w:val="008F3B82"/>
    <w:rsid w:val="00905A8A"/>
    <w:rsid w:val="009134CC"/>
    <w:rsid w:val="009162D8"/>
    <w:rsid w:val="00916CF0"/>
    <w:rsid w:val="00920051"/>
    <w:rsid w:val="009234E9"/>
    <w:rsid w:val="00934DB5"/>
    <w:rsid w:val="0093680E"/>
    <w:rsid w:val="009532FC"/>
    <w:rsid w:val="0095529B"/>
    <w:rsid w:val="009721C5"/>
    <w:rsid w:val="00974122"/>
    <w:rsid w:val="00976F37"/>
    <w:rsid w:val="00982962"/>
    <w:rsid w:val="009A12AC"/>
    <w:rsid w:val="009A4A79"/>
    <w:rsid w:val="009A6CF8"/>
    <w:rsid w:val="009B4899"/>
    <w:rsid w:val="009B5160"/>
    <w:rsid w:val="009C5FC3"/>
    <w:rsid w:val="009D1F92"/>
    <w:rsid w:val="009E3005"/>
    <w:rsid w:val="009E6310"/>
    <w:rsid w:val="009F0DBF"/>
    <w:rsid w:val="009F1BBA"/>
    <w:rsid w:val="009F7D62"/>
    <w:rsid w:val="00A01502"/>
    <w:rsid w:val="00A302F3"/>
    <w:rsid w:val="00A32431"/>
    <w:rsid w:val="00A34342"/>
    <w:rsid w:val="00A41B61"/>
    <w:rsid w:val="00A45EE4"/>
    <w:rsid w:val="00A51DA8"/>
    <w:rsid w:val="00A7287A"/>
    <w:rsid w:val="00A7605F"/>
    <w:rsid w:val="00A81EC3"/>
    <w:rsid w:val="00A85384"/>
    <w:rsid w:val="00A92990"/>
    <w:rsid w:val="00A962E6"/>
    <w:rsid w:val="00AA0C53"/>
    <w:rsid w:val="00AC2C51"/>
    <w:rsid w:val="00AC6E1A"/>
    <w:rsid w:val="00AF42F9"/>
    <w:rsid w:val="00AF480C"/>
    <w:rsid w:val="00AF624E"/>
    <w:rsid w:val="00B000C3"/>
    <w:rsid w:val="00B0136C"/>
    <w:rsid w:val="00B12BD8"/>
    <w:rsid w:val="00B200B5"/>
    <w:rsid w:val="00B3412F"/>
    <w:rsid w:val="00B35112"/>
    <w:rsid w:val="00B369A7"/>
    <w:rsid w:val="00B4229F"/>
    <w:rsid w:val="00B438CE"/>
    <w:rsid w:val="00B4466C"/>
    <w:rsid w:val="00B47612"/>
    <w:rsid w:val="00B51A11"/>
    <w:rsid w:val="00B54F55"/>
    <w:rsid w:val="00B56C0A"/>
    <w:rsid w:val="00B60B07"/>
    <w:rsid w:val="00B63343"/>
    <w:rsid w:val="00B63437"/>
    <w:rsid w:val="00B75BC4"/>
    <w:rsid w:val="00B857E9"/>
    <w:rsid w:val="00B954DC"/>
    <w:rsid w:val="00BA4718"/>
    <w:rsid w:val="00BB027D"/>
    <w:rsid w:val="00BB4077"/>
    <w:rsid w:val="00BB620F"/>
    <w:rsid w:val="00BB7979"/>
    <w:rsid w:val="00BC2E54"/>
    <w:rsid w:val="00BD6972"/>
    <w:rsid w:val="00BD7CBC"/>
    <w:rsid w:val="00BE2BC3"/>
    <w:rsid w:val="00C00BC9"/>
    <w:rsid w:val="00C0335E"/>
    <w:rsid w:val="00C17BBE"/>
    <w:rsid w:val="00C372DA"/>
    <w:rsid w:val="00C50FD1"/>
    <w:rsid w:val="00C67084"/>
    <w:rsid w:val="00C9191D"/>
    <w:rsid w:val="00CA39B0"/>
    <w:rsid w:val="00CA64D4"/>
    <w:rsid w:val="00CB137B"/>
    <w:rsid w:val="00CC04DF"/>
    <w:rsid w:val="00CD1F8A"/>
    <w:rsid w:val="00CD4772"/>
    <w:rsid w:val="00CD6BB7"/>
    <w:rsid w:val="00CE031D"/>
    <w:rsid w:val="00CE6781"/>
    <w:rsid w:val="00CE7BCB"/>
    <w:rsid w:val="00CF08CF"/>
    <w:rsid w:val="00D00446"/>
    <w:rsid w:val="00D025F4"/>
    <w:rsid w:val="00D049F5"/>
    <w:rsid w:val="00D06FC2"/>
    <w:rsid w:val="00D16E78"/>
    <w:rsid w:val="00D25941"/>
    <w:rsid w:val="00D30B53"/>
    <w:rsid w:val="00D4288A"/>
    <w:rsid w:val="00D51288"/>
    <w:rsid w:val="00D56C05"/>
    <w:rsid w:val="00D60BFF"/>
    <w:rsid w:val="00D63A59"/>
    <w:rsid w:val="00D674DF"/>
    <w:rsid w:val="00D83B42"/>
    <w:rsid w:val="00D914B6"/>
    <w:rsid w:val="00D91DB4"/>
    <w:rsid w:val="00DA6CBE"/>
    <w:rsid w:val="00DB1CA4"/>
    <w:rsid w:val="00DB2BC0"/>
    <w:rsid w:val="00DB5A3F"/>
    <w:rsid w:val="00DB5D9B"/>
    <w:rsid w:val="00DC0C1A"/>
    <w:rsid w:val="00DD4FAA"/>
    <w:rsid w:val="00DE29FC"/>
    <w:rsid w:val="00DF0DD7"/>
    <w:rsid w:val="00E00556"/>
    <w:rsid w:val="00E134AA"/>
    <w:rsid w:val="00E249C9"/>
    <w:rsid w:val="00E308BF"/>
    <w:rsid w:val="00E411A4"/>
    <w:rsid w:val="00E42FCE"/>
    <w:rsid w:val="00E44D34"/>
    <w:rsid w:val="00E47FF0"/>
    <w:rsid w:val="00E824D0"/>
    <w:rsid w:val="00E82FD9"/>
    <w:rsid w:val="00E8427F"/>
    <w:rsid w:val="00E93580"/>
    <w:rsid w:val="00EB1010"/>
    <w:rsid w:val="00EB2295"/>
    <w:rsid w:val="00EB2E50"/>
    <w:rsid w:val="00EB3359"/>
    <w:rsid w:val="00ED7FCF"/>
    <w:rsid w:val="00EE1255"/>
    <w:rsid w:val="00EE2D6C"/>
    <w:rsid w:val="00EE5AF0"/>
    <w:rsid w:val="00EF0D28"/>
    <w:rsid w:val="00F05AE4"/>
    <w:rsid w:val="00F13C40"/>
    <w:rsid w:val="00F15EE7"/>
    <w:rsid w:val="00F17DE8"/>
    <w:rsid w:val="00F26456"/>
    <w:rsid w:val="00F31600"/>
    <w:rsid w:val="00F379A1"/>
    <w:rsid w:val="00F37A25"/>
    <w:rsid w:val="00F47E08"/>
    <w:rsid w:val="00F54EAC"/>
    <w:rsid w:val="00F558FC"/>
    <w:rsid w:val="00F66D6F"/>
    <w:rsid w:val="00F71A66"/>
    <w:rsid w:val="00F8001A"/>
    <w:rsid w:val="00F803ED"/>
    <w:rsid w:val="00F84A1E"/>
    <w:rsid w:val="00F9057C"/>
    <w:rsid w:val="00F959A6"/>
    <w:rsid w:val="00F970FF"/>
    <w:rsid w:val="00F97257"/>
    <w:rsid w:val="00FA6E52"/>
    <w:rsid w:val="00FB5DB5"/>
    <w:rsid w:val="00FD0C68"/>
    <w:rsid w:val="00FE0E02"/>
    <w:rsid w:val="00FF5C50"/>
    <w:rsid w:val="022940BF"/>
    <w:rsid w:val="02B6521B"/>
    <w:rsid w:val="03773C2D"/>
    <w:rsid w:val="03E054E4"/>
    <w:rsid w:val="03F84D6E"/>
    <w:rsid w:val="040928CB"/>
    <w:rsid w:val="040D5026"/>
    <w:rsid w:val="05B305E9"/>
    <w:rsid w:val="07620FC2"/>
    <w:rsid w:val="07625825"/>
    <w:rsid w:val="09BC5DAE"/>
    <w:rsid w:val="0B521208"/>
    <w:rsid w:val="0B6B42D1"/>
    <w:rsid w:val="0CE73EF8"/>
    <w:rsid w:val="10C81F6C"/>
    <w:rsid w:val="11CC15E8"/>
    <w:rsid w:val="141A1D9D"/>
    <w:rsid w:val="15F64E85"/>
    <w:rsid w:val="19630A84"/>
    <w:rsid w:val="1BFB31F6"/>
    <w:rsid w:val="1D3978AF"/>
    <w:rsid w:val="1E74728F"/>
    <w:rsid w:val="1F12507B"/>
    <w:rsid w:val="1F911126"/>
    <w:rsid w:val="1F987261"/>
    <w:rsid w:val="20B10327"/>
    <w:rsid w:val="210B7090"/>
    <w:rsid w:val="21743D0A"/>
    <w:rsid w:val="2470497A"/>
    <w:rsid w:val="249677C2"/>
    <w:rsid w:val="25396B3D"/>
    <w:rsid w:val="25CD79B1"/>
    <w:rsid w:val="2725381D"/>
    <w:rsid w:val="27D221AB"/>
    <w:rsid w:val="27E91CFE"/>
    <w:rsid w:val="2903193C"/>
    <w:rsid w:val="293715E5"/>
    <w:rsid w:val="2B8D72D2"/>
    <w:rsid w:val="2D3B7D94"/>
    <w:rsid w:val="2E244B5B"/>
    <w:rsid w:val="2ED004DD"/>
    <w:rsid w:val="2EFB132D"/>
    <w:rsid w:val="2EFE6E2D"/>
    <w:rsid w:val="33C5616B"/>
    <w:rsid w:val="341C3503"/>
    <w:rsid w:val="3647215C"/>
    <w:rsid w:val="382673F4"/>
    <w:rsid w:val="384C296E"/>
    <w:rsid w:val="391536F1"/>
    <w:rsid w:val="39B37868"/>
    <w:rsid w:val="3ADE5D64"/>
    <w:rsid w:val="3B296247"/>
    <w:rsid w:val="3B5E2F7E"/>
    <w:rsid w:val="3BF82E56"/>
    <w:rsid w:val="3C9C7C85"/>
    <w:rsid w:val="3CAF5C0A"/>
    <w:rsid w:val="3DAC3C61"/>
    <w:rsid w:val="3DDC1BF2"/>
    <w:rsid w:val="3E497999"/>
    <w:rsid w:val="3EC02930"/>
    <w:rsid w:val="3F1D583F"/>
    <w:rsid w:val="3FD128BE"/>
    <w:rsid w:val="439F4906"/>
    <w:rsid w:val="43FA3C0F"/>
    <w:rsid w:val="449556E6"/>
    <w:rsid w:val="45A02594"/>
    <w:rsid w:val="48FA645F"/>
    <w:rsid w:val="49723694"/>
    <w:rsid w:val="499E328F"/>
    <w:rsid w:val="4AA010ED"/>
    <w:rsid w:val="4B3C2D5F"/>
    <w:rsid w:val="4C5E4F57"/>
    <w:rsid w:val="4E4D2C94"/>
    <w:rsid w:val="4E907257"/>
    <w:rsid w:val="4EFE247B"/>
    <w:rsid w:val="506D5769"/>
    <w:rsid w:val="515872D2"/>
    <w:rsid w:val="515E260E"/>
    <w:rsid w:val="53163E96"/>
    <w:rsid w:val="54DD7962"/>
    <w:rsid w:val="55AF05D2"/>
    <w:rsid w:val="55D10548"/>
    <w:rsid w:val="55DD513F"/>
    <w:rsid w:val="5630344A"/>
    <w:rsid w:val="56FE35BF"/>
    <w:rsid w:val="57143A16"/>
    <w:rsid w:val="588546BE"/>
    <w:rsid w:val="590D5D3B"/>
    <w:rsid w:val="5BC546AB"/>
    <w:rsid w:val="5C31036C"/>
    <w:rsid w:val="5D7908CF"/>
    <w:rsid w:val="5D8365CC"/>
    <w:rsid w:val="5E5E2B95"/>
    <w:rsid w:val="5FB82826"/>
    <w:rsid w:val="5FC00BC9"/>
    <w:rsid w:val="6022031E"/>
    <w:rsid w:val="60E037EE"/>
    <w:rsid w:val="622B0457"/>
    <w:rsid w:val="64485E79"/>
    <w:rsid w:val="65BA4B55"/>
    <w:rsid w:val="66805D9E"/>
    <w:rsid w:val="67576A87"/>
    <w:rsid w:val="676A1466"/>
    <w:rsid w:val="6A162576"/>
    <w:rsid w:val="6B7A3C2C"/>
    <w:rsid w:val="6CC57E63"/>
    <w:rsid w:val="6D521B17"/>
    <w:rsid w:val="719941B8"/>
    <w:rsid w:val="73AF3D01"/>
    <w:rsid w:val="73C44618"/>
    <w:rsid w:val="74212243"/>
    <w:rsid w:val="761B33ED"/>
    <w:rsid w:val="77A47BD2"/>
    <w:rsid w:val="77CA54E3"/>
    <w:rsid w:val="7A796F51"/>
    <w:rsid w:val="7AFB559C"/>
    <w:rsid w:val="7B202E8E"/>
    <w:rsid w:val="7DE42372"/>
    <w:rsid w:val="7EF85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link w:val="15"/>
    <w:qFormat/>
    <w:uiPriority w:val="0"/>
    <w:pPr>
      <w:keepNext/>
      <w:keepLines/>
      <w:spacing w:before="260" w:after="260" w:line="416" w:lineRule="auto"/>
      <w:ind w:firstLine="628"/>
      <w:jc w:val="center"/>
      <w:outlineLvl w:val="1"/>
    </w:pPr>
    <w:rPr>
      <w:rFonts w:ascii="Arial" w:hAnsi="Arial" w:eastAsia="黑体"/>
      <w:b/>
      <w:bCs/>
      <w:sz w:val="32"/>
      <w:szCs w:val="32"/>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semiHidden/>
    <w:unhideWhenUsed/>
    <w:qFormat/>
    <w:uiPriority w:val="99"/>
    <w:pPr>
      <w:ind w:firstLine="420" w:firstLineChars="100"/>
    </w:pPr>
  </w:style>
  <w:style w:type="paragraph" w:styleId="3">
    <w:name w:val="Body Text"/>
    <w:basedOn w:val="1"/>
    <w:autoRedefine/>
    <w:semiHidden/>
    <w:unhideWhenUsed/>
    <w:qFormat/>
    <w:uiPriority w:val="99"/>
    <w:pPr>
      <w:spacing w:after="120"/>
    </w:pPr>
  </w:style>
  <w:style w:type="paragraph" w:styleId="5">
    <w:name w:val="Body Text Indent"/>
    <w:basedOn w:val="1"/>
    <w:next w:val="6"/>
    <w:autoRedefine/>
    <w:qFormat/>
    <w:uiPriority w:val="0"/>
    <w:pPr>
      <w:spacing w:after="120"/>
      <w:ind w:left="420" w:leftChars="200"/>
    </w:pPr>
  </w:style>
  <w:style w:type="paragraph" w:styleId="6">
    <w:name w:val="envelope return"/>
    <w:basedOn w:val="1"/>
    <w:autoRedefine/>
    <w:qFormat/>
    <w:uiPriority w:val="0"/>
    <w:pPr>
      <w:wordWrap w:val="0"/>
      <w:adjustRightInd w:val="0"/>
      <w:snapToGrid w:val="0"/>
      <w:spacing w:line="360" w:lineRule="atLeast"/>
      <w:textAlignment w:val="baseline"/>
    </w:pPr>
    <w:rPr>
      <w:rFonts w:ascii="Arial" w:hAnsi="Arial" w:eastAsia="BatangChe"/>
      <w:kern w:val="0"/>
      <w:sz w:val="20"/>
      <w:lang w:eastAsia="ko-KR"/>
    </w:rPr>
  </w:style>
  <w:style w:type="paragraph" w:styleId="7">
    <w:name w:val="footer"/>
    <w:basedOn w:val="1"/>
    <w:link w:val="18"/>
    <w:autoRedefine/>
    <w:unhideWhenUsed/>
    <w:qFormat/>
    <w:uiPriority w:val="99"/>
    <w:pPr>
      <w:tabs>
        <w:tab w:val="center" w:pos="4153"/>
        <w:tab w:val="right" w:pos="8306"/>
      </w:tabs>
      <w:snapToGrid w:val="0"/>
      <w:jc w:val="left"/>
    </w:pPr>
    <w:rPr>
      <w:sz w:val="18"/>
      <w:szCs w:val="18"/>
    </w:rPr>
  </w:style>
  <w:style w:type="paragraph" w:styleId="8">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autoRedefine/>
    <w:qFormat/>
    <w:uiPriority w:val="0"/>
    <w:pPr>
      <w:adjustRightInd w:val="0"/>
      <w:spacing w:line="360" w:lineRule="atLeast"/>
      <w:ind w:left="420" w:hanging="420"/>
      <w:jc w:val="left"/>
    </w:pPr>
    <w:rPr>
      <w:rFonts w:hint="eastAsia" w:ascii="宋体"/>
      <w:kern w:val="0"/>
      <w:sz w:val="24"/>
      <w:szCs w:val="20"/>
    </w:rPr>
  </w:style>
  <w:style w:type="paragraph" w:styleId="10">
    <w:name w:val="Body Text First Indent 2"/>
    <w:basedOn w:val="5"/>
    <w:next w:val="9"/>
    <w:autoRedefine/>
    <w:unhideWhenUsed/>
    <w:qFormat/>
    <w:uiPriority w:val="99"/>
    <w:pPr>
      <w:ind w:firstLine="420" w:firstLineChars="200"/>
    </w:pPr>
  </w:style>
  <w:style w:type="paragraph" w:customStyle="1" w:styleId="13">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14">
    <w:name w:val="标题 2 Char"/>
    <w:basedOn w:val="12"/>
    <w:autoRedefine/>
    <w:semiHidden/>
    <w:qFormat/>
    <w:uiPriority w:val="9"/>
    <w:rPr>
      <w:rFonts w:asciiTheme="majorHAnsi" w:hAnsiTheme="majorHAnsi" w:eastAsiaTheme="majorEastAsia" w:cstheme="majorBidi"/>
      <w:b/>
      <w:bCs/>
      <w:sz w:val="32"/>
      <w:szCs w:val="32"/>
    </w:rPr>
  </w:style>
  <w:style w:type="character" w:customStyle="1" w:styleId="15">
    <w:name w:val="标题 2 Char1"/>
    <w:link w:val="4"/>
    <w:autoRedefine/>
    <w:qFormat/>
    <w:uiPriority w:val="0"/>
    <w:rPr>
      <w:rFonts w:ascii="Arial" w:hAnsi="Arial" w:eastAsia="黑体" w:cs="Times New Roman"/>
      <w:b/>
      <w:bCs/>
      <w:sz w:val="32"/>
      <w:szCs w:val="32"/>
    </w:rPr>
  </w:style>
  <w:style w:type="character" w:customStyle="1" w:styleId="16">
    <w:name w:val="fontstyle01"/>
    <w:autoRedefine/>
    <w:qFormat/>
    <w:uiPriority w:val="0"/>
    <w:rPr>
      <w:rFonts w:hint="eastAsia" w:ascii="宋体" w:hAnsi="宋体" w:eastAsia="宋体"/>
      <w:color w:val="000000"/>
      <w:sz w:val="24"/>
      <w:szCs w:val="24"/>
    </w:rPr>
  </w:style>
  <w:style w:type="character" w:customStyle="1" w:styleId="17">
    <w:name w:val="页眉 Char"/>
    <w:basedOn w:val="12"/>
    <w:link w:val="8"/>
    <w:autoRedefine/>
    <w:qFormat/>
    <w:uiPriority w:val="99"/>
    <w:rPr>
      <w:rFonts w:ascii="Times New Roman" w:hAnsi="Times New Roman" w:eastAsia="宋体" w:cs="Times New Roman"/>
      <w:kern w:val="2"/>
      <w:sz w:val="18"/>
      <w:szCs w:val="18"/>
    </w:rPr>
  </w:style>
  <w:style w:type="character" w:customStyle="1" w:styleId="18">
    <w:name w:val="页脚 Char"/>
    <w:basedOn w:val="12"/>
    <w:link w:val="7"/>
    <w:autoRedefine/>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10</Pages>
  <Words>5996</Words>
  <Characters>6121</Characters>
  <Lines>31</Lines>
  <Paragraphs>8</Paragraphs>
  <TotalTime>0</TotalTime>
  <ScaleCrop>false</ScaleCrop>
  <LinksUpToDate>false</LinksUpToDate>
  <CharactersWithSpaces>6546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2019-08-21T08:29:00Z</dcterms:created>
  <dc:creator>lenovo</dc:creator>
  <cp:lastModifiedBy>丁飞</cp:lastModifiedBy>
  <dcterms:modified xsi:type="dcterms:W3CDTF">2024-06-18T07:29:56Z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63944748545D461CB733A65784923C05_13</vt:lpwstr>
  </property>
</Properties>
</file>